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Palatino Linotype" w:eastAsia="Palatino Linotype" w:hAnsi="Palatino Linotype" w:cs="Palatino Linotype"/>
          <w:b/>
          <w:bCs/>
          <w:sz w:val="24"/>
          <w:szCs w:val="24"/>
        </w:rPr>
        <w:tag w:val="goog_rdk_6"/>
        <w:id w:val="790102087"/>
      </w:sdtPr>
      <w:sdtContent>
        <w:p w14:paraId="43F39A23" w14:textId="69BC1465" w:rsidR="00D55257" w:rsidRDefault="00D55257"/>
        <w:p w14:paraId="736D1544" w14:textId="77777777" w:rsidR="00BC54D9" w:rsidRDefault="00000000">
          <w:pPr>
            <w:pStyle w:val="Heading1"/>
            <w:spacing w:before="87" w:line="213" w:lineRule="auto"/>
            <w:ind w:left="764" w:right="778"/>
            <w:jc w:val="center"/>
          </w:pPr>
          <w:sdt>
            <w:sdtPr>
              <w:rPr>
                <w:b w:val="0"/>
                <w:bCs w:val="0"/>
              </w:rPr>
              <w:tag w:val="goog_rdk_2"/>
              <w:id w:val="-678968892"/>
            </w:sdtPr>
            <w:sdtContent>
              <w:sdt>
                <w:sdtPr>
                  <w:rPr>
                    <w:b w:val="0"/>
                    <w:bCs w:val="0"/>
                  </w:rPr>
                  <w:tag w:val="goog_rdk_4"/>
                  <w:id w:val="1720314958"/>
                </w:sdtPr>
                <w:sdtContent/>
              </w:sdt>
            </w:sdtContent>
          </w:sdt>
          <w:sdt>
            <w:sdtPr>
              <w:rPr>
                <w:b w:val="0"/>
                <w:bCs w:val="0"/>
              </w:rPr>
              <w:tag w:val="goog_rdk_5"/>
              <w:id w:val="-809710294"/>
            </w:sdtPr>
            <w:sdtContent>
              <w:r w:rsidR="005331E8" w:rsidRPr="004D7AB9">
                <w:rPr>
                  <w:sz w:val="28"/>
                  <w:szCs w:val="28"/>
                </w:rPr>
                <w:t>Indonesian Ombudsman: Strengthening Role in Improving the Quality of Public Services</w:t>
              </w:r>
            </w:sdtContent>
          </w:sdt>
        </w:p>
      </w:sdtContent>
    </w:sdt>
    <w:sdt>
      <w:sdtPr>
        <w:tag w:val="goog_rdk_8"/>
        <w:id w:val="1033385018"/>
      </w:sdtPr>
      <w:sdtContent>
        <w:p w14:paraId="3AD5C8C4" w14:textId="77777777" w:rsidR="00BC54D9" w:rsidRDefault="00000000">
          <w:pPr>
            <w:pBdr>
              <w:top w:val="nil"/>
              <w:left w:val="nil"/>
              <w:bottom w:val="nil"/>
              <w:right w:val="nil"/>
              <w:between w:val="nil"/>
            </w:pBdr>
            <w:spacing w:before="11"/>
            <w:rPr>
              <w:rFonts w:ascii="Palatino Linotype" w:eastAsia="Palatino Linotype" w:hAnsi="Palatino Linotype" w:cs="Palatino Linotype"/>
              <w:b/>
              <w:color w:val="000000"/>
              <w:sz w:val="19"/>
              <w:szCs w:val="19"/>
            </w:rPr>
          </w:pPr>
          <w:sdt>
            <w:sdtPr>
              <w:tag w:val="goog_rdk_7"/>
              <w:id w:val="-369916582"/>
            </w:sdtPr>
            <w:sdtContent/>
          </w:sdt>
        </w:p>
      </w:sdtContent>
    </w:sdt>
    <w:p w14:paraId="3683D2CF" w14:textId="6A8DCD6A" w:rsidR="004D7AB9" w:rsidRPr="004D7AB9" w:rsidRDefault="004D7AB9" w:rsidP="004D7AB9">
      <w:pPr>
        <w:spacing w:line="226" w:lineRule="auto"/>
        <w:ind w:right="-48"/>
        <w:jc w:val="center"/>
        <w:rPr>
          <w:rFonts w:ascii="Palatino" w:hAnsi="Palatino"/>
          <w:sz w:val="24"/>
          <w:szCs w:val="24"/>
          <w:vertAlign w:val="superscript"/>
        </w:rPr>
      </w:pPr>
      <w:r w:rsidRPr="004D7AB9">
        <w:rPr>
          <w:rFonts w:ascii="Palatino" w:hAnsi="Palatino"/>
          <w:sz w:val="24"/>
          <w:szCs w:val="24"/>
        </w:rPr>
        <w:t>Taqwa</w:t>
      </w:r>
      <w:r w:rsidR="00B9143E">
        <w:rPr>
          <w:rFonts w:ascii="Palatino" w:hAnsi="Palatino"/>
          <w:sz w:val="24"/>
          <w:szCs w:val="24"/>
          <w:vertAlign w:val="superscript"/>
        </w:rPr>
        <w:t>1</w:t>
      </w:r>
      <w:r w:rsidRPr="004D7AB9">
        <w:rPr>
          <w:rFonts w:ascii="Palatino" w:hAnsi="Palatino"/>
          <w:sz w:val="24"/>
          <w:szCs w:val="24"/>
        </w:rPr>
        <w:t>, Amzulian Rifai</w:t>
      </w:r>
      <w:r w:rsidR="00B9143E">
        <w:rPr>
          <w:rFonts w:ascii="Palatino" w:hAnsi="Palatino"/>
          <w:sz w:val="24"/>
          <w:szCs w:val="24"/>
          <w:vertAlign w:val="superscript"/>
        </w:rPr>
        <w:t>2</w:t>
      </w:r>
      <w:r w:rsidRPr="004D7AB9">
        <w:rPr>
          <w:rFonts w:ascii="Palatino" w:hAnsi="Palatino"/>
          <w:sz w:val="24"/>
          <w:szCs w:val="24"/>
        </w:rPr>
        <w:t>, Nahriana</w:t>
      </w:r>
      <w:r w:rsidR="00B9143E">
        <w:rPr>
          <w:rFonts w:ascii="Palatino" w:hAnsi="Palatino"/>
          <w:sz w:val="24"/>
          <w:szCs w:val="24"/>
          <w:vertAlign w:val="superscript"/>
        </w:rPr>
        <w:t>3</w:t>
      </w:r>
      <w:r w:rsidRPr="004D7AB9">
        <w:rPr>
          <w:rFonts w:ascii="Palatino" w:hAnsi="Palatino"/>
          <w:sz w:val="24"/>
          <w:szCs w:val="24"/>
        </w:rPr>
        <w:t>, Iza Rumesten RS</w:t>
      </w:r>
      <w:r w:rsidR="00B9143E">
        <w:rPr>
          <w:rFonts w:ascii="Palatino" w:hAnsi="Palatino"/>
          <w:sz w:val="24"/>
          <w:szCs w:val="24"/>
          <w:vertAlign w:val="superscript"/>
        </w:rPr>
        <w:t>4</w:t>
      </w:r>
      <w:r w:rsidRPr="004D7AB9">
        <w:rPr>
          <w:rFonts w:ascii="Palatino" w:hAnsi="Palatino"/>
          <w:sz w:val="24"/>
          <w:szCs w:val="24"/>
        </w:rPr>
        <w:t>*</w:t>
      </w:r>
    </w:p>
    <w:p w14:paraId="7A3B0D3D" w14:textId="77777777" w:rsidR="004D7AB9" w:rsidRPr="004D7AB9" w:rsidRDefault="004D7AB9" w:rsidP="004D7AB9">
      <w:pPr>
        <w:spacing w:line="226" w:lineRule="auto"/>
        <w:ind w:left="4018" w:right="4033"/>
        <w:rPr>
          <w:rFonts w:ascii="Palatino" w:hAnsi="Palatino"/>
          <w:sz w:val="24"/>
          <w:szCs w:val="24"/>
        </w:rPr>
      </w:pPr>
    </w:p>
    <w:p w14:paraId="4677C649" w14:textId="77777777" w:rsidR="00BC54D9" w:rsidRPr="004D7AB9" w:rsidRDefault="00000000" w:rsidP="004D7AB9">
      <w:pPr>
        <w:jc w:val="center"/>
        <w:rPr>
          <w:rFonts w:ascii="Palatino" w:hAnsi="Palatino"/>
          <w:sz w:val="24"/>
          <w:szCs w:val="24"/>
          <w:lang w:val="en-GB"/>
        </w:rPr>
      </w:pPr>
      <w:hyperlink r:id="rId9" w:history="1">
        <w:r w:rsidR="004D7AB9" w:rsidRPr="004D7AB9">
          <w:rPr>
            <w:rStyle w:val="Hyperlink"/>
            <w:rFonts w:ascii="Palatino" w:hAnsi="Palatino"/>
            <w:sz w:val="24"/>
            <w:szCs w:val="24"/>
            <w:lang w:val="id-ID"/>
          </w:rPr>
          <w:t>ahmadhababiemttaqwa@gmail.com</w:t>
        </w:r>
      </w:hyperlink>
      <w:r w:rsidR="004D7AB9" w:rsidRPr="004D7AB9">
        <w:rPr>
          <w:rFonts w:ascii="Palatino" w:hAnsi="Palatino"/>
          <w:sz w:val="24"/>
          <w:szCs w:val="24"/>
          <w:lang w:val="en-GB"/>
        </w:rPr>
        <w:t>,</w:t>
      </w:r>
      <w:hyperlink r:id="rId10" w:history="1">
        <w:r w:rsidR="004D7AB9" w:rsidRPr="004D7AB9">
          <w:rPr>
            <w:rStyle w:val="Hyperlink"/>
            <w:rFonts w:ascii="Palatino" w:hAnsi="Palatino"/>
            <w:sz w:val="24"/>
            <w:szCs w:val="24"/>
            <w:lang w:val="id-ID"/>
          </w:rPr>
          <w:t>amzulianrifai@fh.unsri.ac.id</w:t>
        </w:r>
      </w:hyperlink>
      <w:r w:rsidR="004D7AB9" w:rsidRPr="004D7AB9">
        <w:rPr>
          <w:rFonts w:ascii="Palatino" w:hAnsi="Palatino"/>
          <w:sz w:val="24"/>
          <w:szCs w:val="24"/>
          <w:lang w:val="en-GB"/>
        </w:rPr>
        <w:t>,</w:t>
      </w:r>
      <w:hyperlink r:id="rId11" w:history="1">
        <w:r w:rsidR="004D7AB9" w:rsidRPr="004D7AB9">
          <w:rPr>
            <w:rStyle w:val="Hyperlink"/>
            <w:rFonts w:ascii="Palatino" w:hAnsi="Palatino"/>
            <w:sz w:val="24"/>
            <w:szCs w:val="24"/>
            <w:lang w:val="id-ID"/>
          </w:rPr>
          <w:t>Nashriana@fh.unsri.ac.id</w:t>
        </w:r>
      </w:hyperlink>
      <w:r w:rsidR="004D7AB9" w:rsidRPr="004D7AB9">
        <w:rPr>
          <w:rFonts w:ascii="Palatino" w:hAnsi="Palatino"/>
          <w:sz w:val="24"/>
          <w:szCs w:val="24"/>
          <w:lang w:val="en-GB"/>
        </w:rPr>
        <w:t>,</w:t>
      </w:r>
      <w:hyperlink r:id="rId12" w:history="1">
        <w:r w:rsidR="004D7AB9" w:rsidRPr="004D7AB9">
          <w:rPr>
            <w:rStyle w:val="Hyperlink"/>
            <w:rFonts w:ascii="Palatino" w:hAnsi="Palatino"/>
            <w:sz w:val="24"/>
            <w:szCs w:val="24"/>
            <w:lang w:val="id-ID"/>
          </w:rPr>
          <w:t>izarumesten@fh.unsri.ac.id</w:t>
        </w:r>
      </w:hyperlink>
    </w:p>
    <w:p w14:paraId="7BFEB25C" w14:textId="77777777" w:rsidR="00BC54D9" w:rsidRPr="004D7AB9" w:rsidRDefault="004D7AB9" w:rsidP="004D7AB9">
      <w:pPr>
        <w:pBdr>
          <w:top w:val="nil"/>
          <w:left w:val="nil"/>
          <w:bottom w:val="nil"/>
          <w:right w:val="nil"/>
          <w:between w:val="nil"/>
        </w:pBdr>
        <w:spacing w:before="94"/>
        <w:ind w:left="1699" w:right="1713"/>
        <w:rPr>
          <w:rFonts w:ascii="Palatino" w:hAnsi="Palatino"/>
          <w:color w:val="000000"/>
          <w:sz w:val="24"/>
          <w:szCs w:val="24"/>
        </w:rPr>
      </w:pPr>
      <w:r w:rsidRPr="004D7AB9">
        <w:rPr>
          <w:rFonts w:ascii="Palatino" w:hAnsi="Palatino"/>
          <w:color w:val="000000"/>
          <w:sz w:val="24"/>
          <w:szCs w:val="24"/>
          <w:vertAlign w:val="superscript"/>
        </w:rPr>
        <w:t>1,2,3,4</w:t>
      </w:r>
      <w:r w:rsidRPr="004D7AB9">
        <w:rPr>
          <w:rFonts w:ascii="Palatino" w:hAnsi="Palatino"/>
          <w:color w:val="000000"/>
          <w:sz w:val="24"/>
          <w:szCs w:val="24"/>
        </w:rPr>
        <w:t>Faculty of Law, Sriwijaya University, Indonesia</w:t>
      </w:r>
    </w:p>
    <w:p w14:paraId="750D7D70" w14:textId="77777777" w:rsidR="00BC54D9" w:rsidRDefault="00BC54D9">
      <w:pPr>
        <w:pBdr>
          <w:top w:val="nil"/>
          <w:left w:val="nil"/>
          <w:bottom w:val="nil"/>
          <w:right w:val="nil"/>
          <w:between w:val="nil"/>
        </w:pBdr>
        <w:spacing w:before="11"/>
        <w:rPr>
          <w:color w:val="000000"/>
          <w:sz w:val="25"/>
          <w:szCs w:val="25"/>
        </w:rPr>
      </w:pPr>
    </w:p>
    <w:tbl>
      <w:tblPr>
        <w:tblStyle w:val="a"/>
        <w:tblW w:w="8616" w:type="dxa"/>
        <w:tblInd w:w="469" w:type="dxa"/>
        <w:tblLayout w:type="fixed"/>
        <w:tblLook w:val="0000" w:firstRow="0" w:lastRow="0" w:firstColumn="0" w:lastColumn="0" w:noHBand="0" w:noVBand="0"/>
      </w:tblPr>
      <w:tblGrid>
        <w:gridCol w:w="2792"/>
        <w:gridCol w:w="5824"/>
      </w:tblGrid>
      <w:tr w:rsidR="00BC54D9" w14:paraId="7B423BF0" w14:textId="77777777">
        <w:trPr>
          <w:trHeight w:val="293"/>
        </w:trPr>
        <w:tc>
          <w:tcPr>
            <w:tcW w:w="2792" w:type="dxa"/>
            <w:tcBorders>
              <w:top w:val="single" w:sz="4" w:space="0" w:color="000000"/>
              <w:bottom w:val="single" w:sz="4" w:space="0" w:color="000000"/>
            </w:tcBorders>
          </w:tcPr>
          <w:p w14:paraId="21922202" w14:textId="77777777" w:rsidR="00BC54D9" w:rsidRDefault="00C510CC">
            <w:pPr>
              <w:pBdr>
                <w:top w:val="nil"/>
                <w:left w:val="nil"/>
                <w:bottom w:val="nil"/>
                <w:right w:val="nil"/>
                <w:between w:val="nil"/>
              </w:pBdr>
              <w:spacing w:line="268" w:lineRule="auto"/>
              <w:ind w:left="108"/>
              <w:rPr>
                <w:rFonts w:ascii="Palatino Linotype" w:eastAsia="Palatino Linotype" w:hAnsi="Palatino Linotype" w:cs="Palatino Linotype"/>
                <w:b/>
                <w:i/>
                <w:color w:val="000000"/>
                <w:sz w:val="24"/>
                <w:szCs w:val="24"/>
              </w:rPr>
            </w:pPr>
            <w:r>
              <w:rPr>
                <w:rFonts w:ascii="Palatino Linotype" w:eastAsia="Palatino Linotype" w:hAnsi="Palatino Linotype" w:cs="Palatino Linotype"/>
                <w:b/>
                <w:i/>
                <w:color w:val="000000"/>
                <w:sz w:val="24"/>
                <w:szCs w:val="24"/>
              </w:rPr>
              <w:t>Article Info</w:t>
            </w:r>
          </w:p>
        </w:tc>
        <w:tc>
          <w:tcPr>
            <w:tcW w:w="5824" w:type="dxa"/>
            <w:tcBorders>
              <w:top w:val="single" w:sz="4" w:space="0" w:color="000000"/>
            </w:tcBorders>
          </w:tcPr>
          <w:p w14:paraId="7E2F64FD" w14:textId="77777777" w:rsidR="00BC54D9" w:rsidRDefault="00C510CC">
            <w:pPr>
              <w:pBdr>
                <w:top w:val="nil"/>
                <w:left w:val="nil"/>
                <w:bottom w:val="nil"/>
                <w:right w:val="nil"/>
                <w:between w:val="nil"/>
              </w:pBdr>
              <w:tabs>
                <w:tab w:val="left" w:pos="5823"/>
              </w:tabs>
              <w:spacing w:line="273" w:lineRule="auto"/>
              <w:ind w:left="335"/>
              <w:rPr>
                <w:rFonts w:ascii="Palatino Linotype" w:eastAsia="Palatino Linotype" w:hAnsi="Palatino Linotype" w:cs="Palatino Linotype"/>
                <w:b/>
                <w:i/>
                <w:color w:val="000000"/>
                <w:sz w:val="24"/>
                <w:szCs w:val="24"/>
              </w:rPr>
            </w:pPr>
            <w:r>
              <w:rPr>
                <w:rFonts w:ascii="Palatino Linotype" w:eastAsia="Palatino Linotype" w:hAnsi="Palatino Linotype" w:cs="Palatino Linotype"/>
                <w:b/>
                <w:i/>
                <w:color w:val="000000"/>
                <w:sz w:val="24"/>
                <w:szCs w:val="24"/>
                <w:u w:val="single"/>
              </w:rPr>
              <w:t>Abstract</w:t>
            </w:r>
            <w:r>
              <w:rPr>
                <w:rFonts w:ascii="Palatino Linotype" w:eastAsia="Palatino Linotype" w:hAnsi="Palatino Linotype" w:cs="Palatino Linotype"/>
                <w:b/>
                <w:i/>
                <w:color w:val="000000"/>
                <w:sz w:val="24"/>
                <w:szCs w:val="24"/>
                <w:u w:val="single"/>
              </w:rPr>
              <w:tab/>
            </w:r>
          </w:p>
        </w:tc>
      </w:tr>
      <w:tr w:rsidR="00BC54D9" w14:paraId="583A86AD" w14:textId="77777777">
        <w:trPr>
          <w:trHeight w:val="9555"/>
        </w:trPr>
        <w:tc>
          <w:tcPr>
            <w:tcW w:w="2792" w:type="dxa"/>
            <w:tcBorders>
              <w:top w:val="single" w:sz="4" w:space="0" w:color="000000"/>
              <w:bottom w:val="single" w:sz="4" w:space="0" w:color="000000"/>
            </w:tcBorders>
            <w:shd w:val="clear" w:color="auto" w:fill="D9D9D9"/>
          </w:tcPr>
          <w:p w14:paraId="3702541C" w14:textId="77777777" w:rsidR="00BC54D9" w:rsidRDefault="00C510CC">
            <w:pPr>
              <w:pBdr>
                <w:top w:val="nil"/>
                <w:left w:val="nil"/>
                <w:bottom w:val="nil"/>
                <w:right w:val="nil"/>
                <w:between w:val="nil"/>
              </w:pBdr>
              <w:spacing w:line="278" w:lineRule="auto"/>
              <w:ind w:left="108"/>
              <w:rPr>
                <w:rFonts w:ascii="Palatino Linotype" w:eastAsia="Palatino Linotype" w:hAnsi="Palatino Linotype" w:cs="Palatino Linotype"/>
                <w:i/>
                <w:color w:val="000000"/>
                <w:sz w:val="24"/>
                <w:szCs w:val="24"/>
              </w:rPr>
            </w:pPr>
            <w:r>
              <w:rPr>
                <w:rFonts w:ascii="Palatino Linotype" w:eastAsia="Palatino Linotype" w:hAnsi="Palatino Linotype" w:cs="Palatino Linotype"/>
                <w:i/>
                <w:color w:val="000000"/>
                <w:sz w:val="24"/>
                <w:szCs w:val="24"/>
              </w:rPr>
              <w:t>Received: 2022-08-12</w:t>
            </w:r>
          </w:p>
          <w:p w14:paraId="6F617BA1" w14:textId="77777777" w:rsidR="00BC54D9" w:rsidRDefault="00C510CC">
            <w:pPr>
              <w:pBdr>
                <w:top w:val="nil"/>
                <w:left w:val="nil"/>
                <w:bottom w:val="nil"/>
                <w:right w:val="nil"/>
                <w:between w:val="nil"/>
              </w:pBdr>
              <w:spacing w:line="289" w:lineRule="auto"/>
              <w:ind w:left="108"/>
              <w:rPr>
                <w:rFonts w:ascii="Palatino Linotype" w:eastAsia="Palatino Linotype" w:hAnsi="Palatino Linotype" w:cs="Palatino Linotype"/>
                <w:i/>
                <w:color w:val="000000"/>
                <w:sz w:val="24"/>
                <w:szCs w:val="24"/>
              </w:rPr>
            </w:pPr>
            <w:r>
              <w:rPr>
                <w:rFonts w:ascii="Palatino Linotype" w:eastAsia="Palatino Linotype" w:hAnsi="Palatino Linotype" w:cs="Palatino Linotype"/>
                <w:i/>
                <w:color w:val="000000"/>
                <w:sz w:val="24"/>
                <w:szCs w:val="24"/>
              </w:rPr>
              <w:t>Revised: 2023-02-21</w:t>
            </w:r>
          </w:p>
          <w:p w14:paraId="09D0B7F1" w14:textId="77777777" w:rsidR="00BC54D9" w:rsidRDefault="00C510CC">
            <w:pPr>
              <w:pBdr>
                <w:top w:val="nil"/>
                <w:left w:val="nil"/>
                <w:bottom w:val="nil"/>
                <w:right w:val="nil"/>
                <w:between w:val="nil"/>
              </w:pBdr>
              <w:spacing w:line="306" w:lineRule="auto"/>
              <w:ind w:left="108"/>
              <w:rPr>
                <w:rFonts w:ascii="Palatino Linotype" w:eastAsia="Palatino Linotype" w:hAnsi="Palatino Linotype" w:cs="Palatino Linotype"/>
                <w:i/>
                <w:color w:val="000000"/>
                <w:sz w:val="24"/>
                <w:szCs w:val="24"/>
              </w:rPr>
            </w:pPr>
            <w:r>
              <w:rPr>
                <w:rFonts w:ascii="Palatino Linotype" w:eastAsia="Palatino Linotype" w:hAnsi="Palatino Linotype" w:cs="Palatino Linotype"/>
                <w:i/>
                <w:color w:val="000000"/>
                <w:sz w:val="24"/>
                <w:szCs w:val="24"/>
              </w:rPr>
              <w:t>Accepted: 2023-03-31</w:t>
            </w:r>
          </w:p>
          <w:p w14:paraId="272D541F" w14:textId="77777777" w:rsidR="00BC54D9" w:rsidRDefault="00BC54D9">
            <w:pPr>
              <w:pBdr>
                <w:top w:val="nil"/>
                <w:left w:val="nil"/>
                <w:bottom w:val="nil"/>
                <w:right w:val="nil"/>
                <w:between w:val="nil"/>
              </w:pBdr>
              <w:spacing w:before="8"/>
              <w:rPr>
                <w:color w:val="000000"/>
                <w:sz w:val="21"/>
                <w:szCs w:val="21"/>
              </w:rPr>
            </w:pPr>
          </w:p>
          <w:p w14:paraId="1100EC40" w14:textId="77777777" w:rsidR="00BC54D9" w:rsidRDefault="00C510CC">
            <w:pPr>
              <w:pBdr>
                <w:top w:val="nil"/>
                <w:left w:val="nil"/>
                <w:bottom w:val="nil"/>
                <w:right w:val="nil"/>
                <w:between w:val="nil"/>
              </w:pBdr>
              <w:spacing w:line="306" w:lineRule="auto"/>
              <w:ind w:left="108"/>
              <w:rPr>
                <w:rFonts w:ascii="Palatino Linotype" w:eastAsia="Palatino Linotype" w:hAnsi="Palatino Linotype" w:cs="Palatino Linotype"/>
                <w:b/>
                <w:i/>
                <w:color w:val="000000"/>
                <w:sz w:val="24"/>
                <w:szCs w:val="24"/>
              </w:rPr>
            </w:pPr>
            <w:r>
              <w:rPr>
                <w:rFonts w:ascii="Palatino Linotype" w:eastAsia="Palatino Linotype" w:hAnsi="Palatino Linotype" w:cs="Palatino Linotype"/>
                <w:b/>
                <w:i/>
                <w:color w:val="000000"/>
                <w:sz w:val="24"/>
                <w:szCs w:val="24"/>
              </w:rPr>
              <w:t>Keywords:</w:t>
            </w:r>
          </w:p>
          <w:p w14:paraId="6B74158F" w14:textId="77777777" w:rsidR="002921DE" w:rsidRDefault="002921DE">
            <w:pPr>
              <w:pBdr>
                <w:top w:val="nil"/>
                <w:left w:val="nil"/>
                <w:bottom w:val="nil"/>
                <w:right w:val="nil"/>
                <w:between w:val="nil"/>
              </w:pBdr>
              <w:spacing w:before="11" w:line="213" w:lineRule="auto"/>
              <w:ind w:left="108" w:right="198"/>
              <w:rPr>
                <w:rFonts w:ascii="Palatino Linotype" w:eastAsia="Palatino Linotype" w:hAnsi="Palatino Linotype" w:cs="Palatino Linotype"/>
                <w:i/>
                <w:color w:val="000000"/>
                <w:sz w:val="24"/>
                <w:szCs w:val="24"/>
              </w:rPr>
            </w:pPr>
            <w:r>
              <w:rPr>
                <w:rFonts w:ascii="Palatino Linotype" w:eastAsia="Palatino Linotype" w:hAnsi="Palatino Linotype" w:cs="Palatino Linotype"/>
                <w:i/>
                <w:color w:val="000000"/>
                <w:sz w:val="24"/>
                <w:szCs w:val="24"/>
              </w:rPr>
              <w:t>Ombudsman of the Republic of Indonesia;</w:t>
            </w:r>
          </w:p>
          <w:p w14:paraId="5F6C05A2" w14:textId="77777777" w:rsidR="00BC54D9" w:rsidRDefault="00C510CC">
            <w:pPr>
              <w:pBdr>
                <w:top w:val="nil"/>
                <w:left w:val="nil"/>
                <w:bottom w:val="nil"/>
                <w:right w:val="nil"/>
                <w:between w:val="nil"/>
              </w:pBdr>
              <w:spacing w:before="11" w:line="213" w:lineRule="auto"/>
              <w:ind w:left="108" w:right="198"/>
              <w:rPr>
                <w:rFonts w:ascii="Palatino Linotype" w:eastAsia="Palatino Linotype" w:hAnsi="Palatino Linotype" w:cs="Palatino Linotype"/>
                <w:i/>
                <w:color w:val="000000"/>
                <w:sz w:val="24"/>
                <w:szCs w:val="24"/>
              </w:rPr>
            </w:pPr>
            <w:r>
              <w:rPr>
                <w:rFonts w:ascii="Palatino Linotype" w:eastAsia="Palatino Linotype" w:hAnsi="Palatino Linotype" w:cs="Palatino Linotype"/>
                <w:i/>
                <w:color w:val="000000"/>
                <w:sz w:val="24"/>
                <w:szCs w:val="24"/>
              </w:rPr>
              <w:t>Good governance; Public service;</w:t>
            </w:r>
          </w:p>
          <w:p w14:paraId="4E210D43" w14:textId="77777777" w:rsidR="002921DE" w:rsidRDefault="002921DE">
            <w:pPr>
              <w:pBdr>
                <w:top w:val="nil"/>
                <w:left w:val="nil"/>
                <w:bottom w:val="nil"/>
                <w:right w:val="nil"/>
                <w:between w:val="nil"/>
              </w:pBdr>
              <w:spacing w:before="11" w:line="213" w:lineRule="auto"/>
              <w:ind w:left="108" w:right="198"/>
              <w:rPr>
                <w:rFonts w:ascii="Palatino Linotype" w:eastAsia="Palatino Linotype" w:hAnsi="Palatino Linotype" w:cs="Palatino Linotype"/>
                <w:i/>
                <w:color w:val="000000"/>
                <w:sz w:val="24"/>
                <w:szCs w:val="24"/>
              </w:rPr>
            </w:pPr>
            <w:r>
              <w:rPr>
                <w:rFonts w:ascii="Palatino Linotype" w:eastAsia="Palatino Linotype" w:hAnsi="Palatino Linotype" w:cs="Palatino Linotype"/>
                <w:i/>
                <w:color w:val="000000"/>
                <w:sz w:val="24"/>
                <w:szCs w:val="24"/>
              </w:rPr>
              <w:t>Legal Reconstruction;</w:t>
            </w:r>
          </w:p>
        </w:tc>
        <w:tc>
          <w:tcPr>
            <w:tcW w:w="5824" w:type="dxa"/>
            <w:tcBorders>
              <w:bottom w:val="single" w:sz="4" w:space="0" w:color="000000"/>
            </w:tcBorders>
          </w:tcPr>
          <w:p w14:paraId="4D69359C" w14:textId="1C6AEE93" w:rsidR="00BC54D9" w:rsidRDefault="008A7009">
            <w:pPr>
              <w:pBdr>
                <w:top w:val="nil"/>
                <w:left w:val="nil"/>
                <w:bottom w:val="nil"/>
                <w:right w:val="nil"/>
                <w:between w:val="nil"/>
              </w:pBdr>
              <w:spacing w:before="3"/>
              <w:ind w:left="335"/>
              <w:jc w:val="both"/>
              <w:rPr>
                <w:rFonts w:ascii="Palatino Linotype" w:eastAsia="Palatino Linotype" w:hAnsi="Palatino Linotype" w:cs="Palatino Linotype"/>
                <w:i/>
                <w:color w:val="000000"/>
                <w:sz w:val="24"/>
                <w:szCs w:val="24"/>
              </w:rPr>
            </w:pPr>
            <w:r w:rsidRPr="008A7009">
              <w:rPr>
                <w:rFonts w:ascii="Palatino Linotype" w:eastAsia="Palatino Linotype" w:hAnsi="Palatino Linotype" w:cs="Palatino Linotype"/>
                <w:i/>
                <w:iCs/>
                <w:color w:val="000000"/>
                <w:sz w:val="24"/>
                <w:szCs w:val="24"/>
              </w:rPr>
              <w:t>When residents have issues with a government agency, they may resort to the impartial Ombudsman. This research looks at how the Indonesian Ombudsman has affected service quality there. This research aims to clarify the need for an Ombudsman in the fight against bad administration and to propose reforms to the legislation that would give them more authority. This research blends a normative judicial approach with a descriptive analytic technique. This research shows that the Indonesian Ombudsman has the potential to become a powerful advocate for improving the quality of government services and protecting people' rights against infringement by the state. The Ombudsman in Indonesia can do a better job of sustaining good governance and guaranteeing justice in the provision of public services if given the sufficient resources and support from the government and society, as well as the required legal framework.</w:t>
            </w:r>
          </w:p>
        </w:tc>
      </w:tr>
    </w:tbl>
    <w:p w14:paraId="584D6EFE" w14:textId="77777777" w:rsidR="00BC54D9" w:rsidRDefault="00BC54D9">
      <w:pPr>
        <w:pBdr>
          <w:top w:val="nil"/>
          <w:left w:val="nil"/>
          <w:bottom w:val="nil"/>
          <w:right w:val="nil"/>
          <w:between w:val="nil"/>
        </w:pBdr>
        <w:rPr>
          <w:color w:val="000000"/>
          <w:sz w:val="20"/>
          <w:szCs w:val="20"/>
        </w:rPr>
      </w:pPr>
    </w:p>
    <w:p w14:paraId="2DA7DF71" w14:textId="77777777" w:rsidR="00BC54D9" w:rsidRDefault="00C510CC">
      <w:pPr>
        <w:pBdr>
          <w:top w:val="nil"/>
          <w:left w:val="nil"/>
          <w:bottom w:val="nil"/>
          <w:right w:val="nil"/>
          <w:between w:val="nil"/>
        </w:pBdr>
        <w:spacing w:before="9"/>
        <w:rPr>
          <w:color w:val="000000"/>
          <w:sz w:val="12"/>
          <w:szCs w:val="12"/>
        </w:rPr>
        <w:sectPr w:rsidR="00BC54D9" w:rsidSect="001324A9">
          <w:headerReference w:type="default" r:id="rId13"/>
          <w:footerReference w:type="default" r:id="rId14"/>
          <w:headerReference w:type="first" r:id="rId15"/>
          <w:footerReference w:type="first" r:id="rId16"/>
          <w:pgSz w:w="11910" w:h="16850"/>
          <w:pgMar w:top="1600" w:right="1220" w:bottom="280" w:left="1240" w:header="283" w:footer="720" w:gutter="0"/>
          <w:pgNumType w:start="1"/>
          <w:cols w:space="720"/>
        </w:sectPr>
      </w:pPr>
      <w:r>
        <w:rPr>
          <w:noProof/>
        </w:rPr>
        <w:lastRenderedPageBreak/>
        <mc:AlternateContent>
          <mc:Choice Requires="wps">
            <w:drawing>
              <wp:anchor distT="0" distB="0" distL="0" distR="0" simplePos="0" relativeHeight="251658240" behindDoc="0" locked="0" layoutInCell="1" hidden="0" allowOverlap="1" wp14:anchorId="23DA06D0" wp14:editId="7E441B59">
                <wp:simplePos x="0" y="0"/>
                <wp:positionH relativeFrom="column">
                  <wp:posOffset>50800</wp:posOffset>
                </wp:positionH>
                <wp:positionV relativeFrom="paragraph">
                  <wp:posOffset>114300</wp:posOffset>
                </wp:positionV>
                <wp:extent cx="5868670" cy="356870"/>
                <wp:effectExtent l="0" t="0" r="0" b="0"/>
                <wp:wrapTopAndBottom distT="0" distB="0"/>
                <wp:docPr id="2027640351" name="Rectangle 2027640351"/>
                <wp:cNvGraphicFramePr/>
                <a:graphic xmlns:a="http://schemas.openxmlformats.org/drawingml/2006/main">
                  <a:graphicData uri="http://schemas.microsoft.com/office/word/2010/wordprocessingShape">
                    <wps:wsp>
                      <wps:cNvSpPr/>
                      <wps:spPr>
                        <a:xfrm>
                          <a:off x="2416428" y="3606328"/>
                          <a:ext cx="5859145" cy="347345"/>
                        </a:xfrm>
                        <a:prstGeom prst="rect">
                          <a:avLst/>
                        </a:prstGeom>
                        <a:solidFill>
                          <a:srgbClr val="943735"/>
                        </a:solidFill>
                        <a:ln w="9525" cap="flat" cmpd="sng">
                          <a:solidFill>
                            <a:srgbClr val="000000"/>
                          </a:solidFill>
                          <a:prstDash val="solid"/>
                          <a:miter lim="800000"/>
                          <a:headEnd type="none" w="sm" len="sm"/>
                          <a:tailEnd type="none" w="sm" len="sm"/>
                        </a:ln>
                      </wps:spPr>
                      <wps:txbx>
                        <w:txbxContent>
                          <w:p w14:paraId="489090F8" w14:textId="77777777" w:rsidR="00BC54D9" w:rsidRDefault="00C510CC">
                            <w:pPr>
                              <w:spacing w:before="98"/>
                              <w:ind w:left="567" w:firstLine="567"/>
                              <w:textDirection w:val="btLr"/>
                            </w:pPr>
                            <w:r>
                              <w:rPr>
                                <w:rFonts w:ascii="Palatino Linotype" w:eastAsia="Palatino Linotype" w:hAnsi="Palatino Linotype" w:cs="Palatino Linotype"/>
                                <w:b/>
                                <w:color w:val="FFFFFF"/>
                                <w:sz w:val="18"/>
                              </w:rPr>
                              <w:t>Erlina: Implementation of Legal Protection of Geographical Indication of ……</w:t>
                            </w:r>
                            <w:r>
                              <w:rPr>
                                <w:rFonts w:ascii="Times New Roman" w:eastAsia="Times New Roman" w:hAnsi="Times New Roman" w:cs="Times New Roman"/>
                                <w:b/>
                                <w:i/>
                                <w:color w:val="FFFFFF"/>
                                <w:sz w:val="18"/>
                              </w:rPr>
                              <w:tab/>
                            </w:r>
                            <w:r>
                              <w:rPr>
                                <w:rFonts w:ascii="PMingLiU-ExtB" w:eastAsia="PMingLiU-ExtB" w:hAnsi="PMingLiU-ExtB" w:cs="PMingLiU-ExtB"/>
                                <w:color w:val="FFFFFF"/>
                                <w:sz w:val="18"/>
                              </w:rPr>
                              <w:t>1</w:t>
                            </w:r>
                          </w:p>
                        </w:txbxContent>
                      </wps:txbx>
                      <wps:bodyPr spcFirstLastPara="1" wrap="square" lIns="0" tIns="0" rIns="0" bIns="0" anchor="t" anchorCtr="0">
                        <a:noAutofit/>
                      </wps:bodyPr>
                    </wps:wsp>
                  </a:graphicData>
                </a:graphic>
              </wp:anchor>
            </w:drawing>
          </mc:Choice>
          <mc:Fallback>
            <w:pict>
              <v:rect w14:anchorId="23DA06D0" id="Rectangle 2027640351" o:spid="_x0000_s1026" style="position:absolute;margin-left:4pt;margin-top:9pt;width:462.1pt;height:28.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" fillcolor="#943735">
                <v:stroke startarrowwidth="narrow" startarrowlength="short" endarrowwidth="narrow" endarrowlength="short"/>
                <v:textbox inset="0,0,0,0">
                  <w:txbxContent>
                    <w:p w14:paraId="489090F8" w14:textId="77777777" w:rsidR="00BC54D9" w:rsidRDefault="00000000">
                      <w:pPr>
                        <w:spacing w:before="98"/>
                        <w:ind w:left="567" w:firstLine="567"/>
                        <w:textDirection w:val="btLr"/>
                      </w:pPr>
                      <w:r>
                        <w:rPr>
                          <w:rFonts w:ascii="Palatino Linotype" w:eastAsia="Palatino Linotype" w:hAnsi="Palatino Linotype" w:cs="Palatino Linotype"/>
                          <w:b/>
                          <w:color w:val="FFFFFF"/>
                          <w:sz w:val="18"/>
                        </w:rPr>
                        <w:t>Erlina: Implementation of Legal Protection of Geographical Indication of ……</w:t>
                      </w:r>
                      <w:r>
                        <w:rPr>
                          <w:rFonts w:ascii="Times New Roman" w:eastAsia="Times New Roman" w:hAnsi="Times New Roman" w:cs="Times New Roman"/>
                          <w:b/>
                          <w:i/>
                          <w:color w:val="FFFFFF"/>
                          <w:sz w:val="18"/>
                        </w:rPr>
                        <w:tab/>
                      </w:r>
                      <w:r>
                        <w:rPr>
                          <w:rFonts w:ascii="PMingLiU-ExtB" w:eastAsia="PMingLiU-ExtB" w:hAnsi="PMingLiU-ExtB" w:cs="PMingLiU-ExtB"/>
                          <w:color w:val="FFFFFF"/>
                          <w:sz w:val="18"/>
                        </w:rPr>
                        <w:t>1</w:t>
                      </w:r>
                    </w:p>
                  </w:txbxContent>
                </v:textbox>
                <w10:wrap type="topAndBottom"/>
              </v:rect>
            </w:pict>
          </mc:Fallback>
        </mc:AlternateContent>
      </w:r>
    </w:p>
    <w:p w14:paraId="1C33AB60" w14:textId="77777777" w:rsidR="00BC54D9" w:rsidRDefault="00BC54D9">
      <w:pPr>
        <w:pBdr>
          <w:top w:val="nil"/>
          <w:left w:val="nil"/>
          <w:bottom w:val="nil"/>
          <w:right w:val="nil"/>
          <w:between w:val="nil"/>
        </w:pBdr>
        <w:spacing w:before="10"/>
        <w:rPr>
          <w:color w:val="000000"/>
          <w:sz w:val="23"/>
          <w:szCs w:val="23"/>
        </w:rPr>
      </w:pPr>
    </w:p>
    <w:sdt>
      <w:sdtPr>
        <w:rPr>
          <w:b w:val="0"/>
          <w:bCs w:val="0"/>
        </w:rPr>
        <w:tag w:val="goog_rdk_15"/>
        <w:id w:val="-711270164"/>
      </w:sdtPr>
      <w:sdtContent>
        <w:p w14:paraId="054233A2" w14:textId="77777777" w:rsidR="00BC54D9" w:rsidRDefault="00C510CC">
          <w:pPr>
            <w:pStyle w:val="Heading1"/>
            <w:tabs>
              <w:tab w:val="left" w:pos="745"/>
            </w:tabs>
            <w:spacing w:before="70"/>
            <w:ind w:left="310"/>
          </w:pPr>
          <w:r>
            <w:t>I.</w:t>
          </w:r>
          <w:sdt>
            <w:sdtPr>
              <w:rPr>
                <w:b w:val="0"/>
                <w:bCs w:val="0"/>
              </w:rPr>
              <w:tag w:val="goog_rdk_14"/>
              <w:id w:val="-787890792"/>
            </w:sdtPr>
            <w:sdtContent>
              <w:r>
                <w:tab/>
                <w:t>Introduction</w:t>
              </w:r>
            </w:sdtContent>
          </w:sdt>
        </w:p>
      </w:sdtContent>
    </w:sdt>
    <w:p w14:paraId="57C37257" w14:textId="740F2D50" w:rsidR="00970D51" w:rsidRDefault="008A7009" w:rsidP="00970D51">
      <w:pPr>
        <w:pStyle w:val="BodyText"/>
        <w:spacing w:line="276" w:lineRule="auto"/>
        <w:ind w:left="310" w:right="116" w:firstLine="410"/>
        <w:rPr>
          <w:rFonts w:asciiTheme="majorHAnsi" w:hAnsiTheme="majorHAnsi"/>
        </w:rPr>
      </w:pPr>
      <w:r w:rsidRPr="008A7009">
        <w:rPr>
          <w:rFonts w:asciiTheme="majorHAnsi" w:hAnsiTheme="majorHAnsi"/>
        </w:rPr>
        <w:t>Legal states, in theory, are those in which the rule of law underpins all aspects of government and social order. Mochtar Kusumaatmaja explains that the rule of law means that authority is established by the rule of law and that everyone is accountable to the law. Whether enacted via the notion of a democratic state (democracy) or through the concept of a rule of law (nomocracy), the idea of law has the same goal: to increase people's well-being</w:t>
      </w:r>
      <w:r>
        <w:rPr>
          <w:rFonts w:asciiTheme="majorHAnsi" w:hAnsiTheme="majorHAnsi"/>
        </w:rPr>
        <w:t xml:space="preserve"> </w:t>
      </w:r>
      <w:r w:rsidR="0097448D">
        <w:rPr>
          <w:rFonts w:asciiTheme="majorHAnsi" w:hAnsiTheme="majorHAnsi"/>
        </w:rPr>
        <w:fldChar w:fldCharType="begin"/>
      </w:r>
      <w:r w:rsidR="005424BB">
        <w:rPr>
          <w:rFonts w:asciiTheme="majorHAnsi" w:hAnsiTheme="majorHAnsi"/>
        </w:rPr>
        <w:instrText xml:space="preserve"> ADDIN ZOTERO_ITEM CSL_CITATION {"citationID":"DkASQ2DF","properties":{"formattedCitation":"(Martitah, 2013)","plainCitation":"(Martitah, 2013)","noteIndex":0},"citationItems":[{"id":5052,"uris":["http://zotero.org/users/10969092/items/GZ6C4TGF"],"itemData":{"id":5052,"type":"book","event-place":"Jakarta","publisher":"Konstitusi Press","publisher-place":"Jakarta","title":"Mahkamah Konstitusi, dari negative legislature ke positive legislature?","author":[{"literal":"Martitah"}],"issued":{"date-parts":[["2013"]]}}}],"schema":"https://github.com/citation-style-language/schema/raw/master/csl-citation.json"} </w:instrText>
      </w:r>
      <w:r w:rsidR="0097448D">
        <w:rPr>
          <w:rFonts w:asciiTheme="majorHAnsi" w:hAnsiTheme="majorHAnsi"/>
        </w:rPr>
        <w:fldChar w:fldCharType="separate"/>
      </w:r>
      <w:r w:rsidR="0097448D" w:rsidRPr="0097448D">
        <w:t>(Martitah, 2013)</w:t>
      </w:r>
      <w:r w:rsidR="0097448D">
        <w:rPr>
          <w:rFonts w:asciiTheme="majorHAnsi" w:hAnsiTheme="majorHAnsi"/>
        </w:rPr>
        <w:fldChar w:fldCharType="end"/>
      </w:r>
      <w:r w:rsidR="00970D51">
        <w:rPr>
          <w:rFonts w:asciiTheme="majorHAnsi" w:hAnsiTheme="majorHAnsi"/>
        </w:rPr>
        <w:t>.</w:t>
      </w:r>
    </w:p>
    <w:p w14:paraId="00065F0F" w14:textId="1C36CB1F" w:rsidR="009411DD" w:rsidRDefault="008A7009" w:rsidP="00970D51">
      <w:pPr>
        <w:pStyle w:val="BodyText"/>
        <w:spacing w:line="276" w:lineRule="auto"/>
        <w:ind w:left="310" w:right="116" w:firstLine="410"/>
        <w:rPr>
          <w:rFonts w:asciiTheme="majorHAnsi" w:hAnsiTheme="majorHAnsi"/>
        </w:rPr>
      </w:pPr>
      <w:r w:rsidRPr="008A7009">
        <w:t>Rule of law is different from a rule of law, which refers to a particular set of laws or regulations, such as those pertaining to maintaining order, upholding morality in the legal system, or establishing a positive rule of law. It's a legal principle, but the Rule of Law is more of a political morality ideal that describes the relationship between the administration and the judicial and legislative branches</w:t>
      </w:r>
      <w:r>
        <w:t xml:space="preserve"> </w:t>
      </w:r>
      <w:r w:rsidR="00532054">
        <w:fldChar w:fldCharType="begin"/>
      </w:r>
      <w:r w:rsidR="00532054">
        <w:instrText xml:space="preserve"> ADDIN ZOTERO_ITEM CSL_CITATION {"citationID":"uVLQ39Pb","properties":{"formattedCitation":"(Bingham, 2011)","plainCitation":"(Bingham, 2011)","noteIndex":0},"citationItems":[{"id":5055,"uris":["http://zotero.org/users/10969092/items/294M6KFR"],"itemData":{"id":5055,"type":"book","abstract":"'A gem of a book ... Inspiring and timely. Everyone should read it' Independent'The Rule of Law' is a phrase much used but little examined. The idea of the rule of law as the foundation of modern states and civilisations has recently become even more talismanic than that of democracy, but what does it actually consist of? In this brilliant short book, Britain's former senior law lord, and one of the world's most acute legal minds, examines what the idea actually means. He makes clear that the rule of law is not an arid legal doctrine but is the foundation of a fair and just society, is a guarantee of responsible government, is an important contribution to economic growth and offers the best means yet devised for securing peace and co-operation. He briefly examines the historical origins of the rule, and then advances eight conditions which capture its essence as understood in western democracies today. He also discusses the strains imposed on the rule of law by the threat and experience of international terrorism. The book will be influential in many different fields and should become a key text for anyone interested in politics, society and the state of our world.","ISBN":"978-0-14-196201-6","language":"en","number-of-pages":"236","publisher":"Penguin UK","title":"The Rule of Law","author":[{"family":"Bingham","given":"Tom"}],"issued":{"date-parts":[["2011",7,7]]}}}],"schema":"https://github.com/citation-style-language/schema/raw/master/csl-citation.json"} </w:instrText>
      </w:r>
      <w:r w:rsidR="00532054">
        <w:fldChar w:fldCharType="separate"/>
      </w:r>
      <w:r w:rsidR="00532054">
        <w:rPr>
          <w:noProof/>
        </w:rPr>
        <w:t>(Bingham, 2011)</w:t>
      </w:r>
      <w:r w:rsidR="00532054">
        <w:fldChar w:fldCharType="end"/>
      </w:r>
      <w:r w:rsidR="00532054">
        <w:t>.</w:t>
      </w:r>
    </w:p>
    <w:p w14:paraId="55310547" w14:textId="77777777" w:rsidR="008A7009" w:rsidRDefault="008A7009" w:rsidP="00532054">
      <w:pPr>
        <w:pStyle w:val="BodyText"/>
        <w:spacing w:line="276" w:lineRule="auto"/>
        <w:ind w:left="310" w:right="116" w:firstLine="410"/>
        <w:rPr>
          <w:rFonts w:asciiTheme="majorHAnsi" w:hAnsiTheme="majorHAnsi"/>
        </w:rPr>
      </w:pPr>
      <w:r w:rsidRPr="008A7009">
        <w:rPr>
          <w:rFonts w:asciiTheme="majorHAnsi" w:hAnsiTheme="majorHAnsi"/>
        </w:rPr>
        <w:t>The 1945 Constitution is the constitutional foundation of the Indonesian state, and it mandates changes in the life of the state, nation, and society during the reform period with the goals of creating a democratic state and government administration, increasing prosperity, achieving justice, and ensuring legal certainty for all Indonesian people. As a legal state founded on Pancasila, Indonesia strives for a social order that is fair, prosperous, and equitable</w:t>
      </w:r>
      <w:r>
        <w:rPr>
          <w:rFonts w:asciiTheme="majorHAnsi" w:hAnsiTheme="majorHAnsi"/>
        </w:rPr>
        <w:t xml:space="preserve"> </w:t>
      </w:r>
      <w:r w:rsidR="0097448D">
        <w:rPr>
          <w:rFonts w:asciiTheme="majorHAnsi" w:hAnsiTheme="majorHAnsi"/>
        </w:rPr>
        <w:fldChar w:fldCharType="begin"/>
      </w:r>
      <w:r w:rsidR="005424BB">
        <w:rPr>
          <w:rFonts w:asciiTheme="majorHAnsi" w:hAnsiTheme="majorHAnsi"/>
        </w:rPr>
        <w:instrText xml:space="preserve"> ADDIN ZOTERO_ITEM CSL_CITATION {"citationID":"7AScMXCX","properties":{"formattedCitation":"(Martitah, 2013)","plainCitation":"(Martitah, 2013)","noteIndex":0},"citationItems":[{"id":5052,"uris":["http://zotero.org/users/10969092/items/GZ6C4TGF"],"itemData":{"id":5052,"type":"book","event-place":"Jakarta","publisher":"Konstitusi Press","publisher-place":"Jakarta","title":"Mahkamah Konstitusi, dari negative legislature ke positive legislature?","author":[{"literal":"Martitah"}],"issued":{"date-parts":[["2013"]]}}}],"schema":"https://github.com/citation-style-language/schema/raw/master/csl-citation.json"} </w:instrText>
      </w:r>
      <w:r w:rsidR="0097448D">
        <w:rPr>
          <w:rFonts w:asciiTheme="majorHAnsi" w:hAnsiTheme="majorHAnsi"/>
        </w:rPr>
        <w:fldChar w:fldCharType="separate"/>
      </w:r>
      <w:r w:rsidR="0097448D" w:rsidRPr="0097448D">
        <w:t>(Martitah, 2013)</w:t>
      </w:r>
      <w:r w:rsidR="0097448D">
        <w:rPr>
          <w:rFonts w:asciiTheme="majorHAnsi" w:hAnsiTheme="majorHAnsi"/>
        </w:rPr>
        <w:fldChar w:fldCharType="end"/>
      </w:r>
      <w:r w:rsidR="00970D51">
        <w:rPr>
          <w:rFonts w:asciiTheme="majorHAnsi" w:hAnsiTheme="majorHAnsi"/>
        </w:rPr>
        <w:t xml:space="preserve">. </w:t>
      </w:r>
      <w:r w:rsidRPr="008A7009">
        <w:rPr>
          <w:rFonts w:asciiTheme="majorHAnsi" w:hAnsiTheme="majorHAnsi"/>
        </w:rPr>
        <w:t>With this as a guide, Indonesian legislation is drafted with the goal of fostering social justice for all Indonesians. According to the 1945 Constitution, which serves as the legal basis for the Indonesian state, social justice for all Indonesian residents is the ultimate aim or ideal situation.</w:t>
      </w:r>
    </w:p>
    <w:p w14:paraId="3EA5B9B0" w14:textId="4357FAC7" w:rsidR="009411DD" w:rsidRDefault="008A7009" w:rsidP="00532054">
      <w:pPr>
        <w:pStyle w:val="BodyText"/>
        <w:spacing w:line="276" w:lineRule="auto"/>
        <w:ind w:left="310" w:right="116" w:firstLine="410"/>
        <w:rPr>
          <w:rFonts w:asciiTheme="majorHAnsi" w:hAnsiTheme="majorHAnsi"/>
          <w:spacing w:val="1"/>
        </w:rPr>
      </w:pPr>
      <w:r w:rsidRPr="008A7009">
        <w:t>Laws are established by communities to accommodate divergent group goals</w:t>
      </w:r>
      <w:r>
        <w:t xml:space="preserve"> </w:t>
      </w:r>
      <w:r w:rsidR="009411DD">
        <w:fldChar w:fldCharType="begin"/>
      </w:r>
      <w:r w:rsidR="009411DD">
        <w:instrText xml:space="preserve"> ADDIN ZOTERO_ITEM CSL_CITATION {"citationID":"k3a2JAds","properties":{"formattedCitation":"(Wantu et al., 2023)","plainCitation":"(Wantu et al., 2023)","noteIndex":0},"citationItems":[{"id":2966,"uris":["http://zotero.org/users/10969092/items/RGKZJFMK"],"itemData":{"id":2966,"type":"article-journal","container-title":"Jurnal Bina Hukum Lingkungan","DOI":"10.24970/bhl.v7i2.342","issue":"2","page":"257-289","title":"EKSISTENSI MEDIASI SEBAGAI SALAH SATU BENTUK PENYELESAIAN SENGKETA LINGKUNGAN HIDUP PASCA BERLAKUNYA UNDANG-UNDANG CIPTA KERJA","URL":"https://www.bhl-jurnal.or.id/index.php/bhl/article/view/342","volume":"7","author":[{"family":"Wantu","given":"Fence M"},{"family":"Muhtar","given":"Mohamad Hidayat"},{"family":"Putri","given":"Viorizza Suciani"},{"family":"Thalib","given":"Mutia Cherawaty"},{"family":"Junus","given":"Nirwan"}],"accessed":{"date-parts":[["2023",4,27]]},"issued":{"date-parts":[["2023"]]}}}],"schema":"https://github.com/citation-style-language/schema/raw/master/csl-citation.json"} </w:instrText>
      </w:r>
      <w:r w:rsidR="009411DD">
        <w:fldChar w:fldCharType="separate"/>
      </w:r>
      <w:r w:rsidR="009411DD">
        <w:rPr>
          <w:noProof/>
        </w:rPr>
        <w:t>(Wantu et al., 2023)</w:t>
      </w:r>
      <w:r w:rsidR="009411DD">
        <w:fldChar w:fldCharType="end"/>
      </w:r>
      <w:r w:rsidR="009411DD">
        <w:t xml:space="preserve">. </w:t>
      </w:r>
      <w:r w:rsidRPr="008A7009">
        <w:t>Since constitutionalism rests on the premise that the majority of a population can reach a consensus on what kind of government should be established, it is inextricably linked to the concept of the constitution</w:t>
      </w:r>
      <w:r>
        <w:t xml:space="preserve"> </w:t>
      </w:r>
      <w:r w:rsidR="00532054">
        <w:fldChar w:fldCharType="begin"/>
      </w:r>
      <w:r w:rsidR="00532054">
        <w:instrText xml:space="preserve"> ADDIN ZOTERO_ITEM CSL_CITATION {"citationID":"Zbx5mIeb","properties":{"formattedCitation":"(Muhtar &amp; Kasim, 2023)","plainCitation":"(Muhtar &amp; Kasim, 2023)","noteIndex":0},"citationItems":[{"id":5057,"uris":["http://zotero.org/users/10969092/items/H6DW4T5H"],"itemData":{"id":5057,"type":"book","abstract":"Read on Neliti","ISBN":"9786234875492","language":"id","license":"(c) Eureka Media Aksara, 2023","publisher":"Eureka Media Aksara","source":"repository.penerbiteureka.com","title":"Peraturan Daerah Syariah dalam Sistem Hukum Indonesia","URL":"https://repository.penerbiteureka.com/tr/publications/559654/","author":[{"family":"Muhtar","given":"Mohamad Hidayat"},{"family":"Kasim","given":"Nur Mohamad"}],"accessed":{"date-parts":[["2023",10,25]]},"issued":{"date-parts":[["2023",2,3]]}}}],"schema":"https://github.com/citation-style-language/schema/raw/master/csl-citation.json"} </w:instrText>
      </w:r>
      <w:r w:rsidR="00532054">
        <w:fldChar w:fldCharType="separate"/>
      </w:r>
      <w:r w:rsidR="00532054">
        <w:rPr>
          <w:noProof/>
        </w:rPr>
        <w:t>(Muhtar &amp; Kasim, 2023)</w:t>
      </w:r>
      <w:r w:rsidR="00532054">
        <w:fldChar w:fldCharType="end"/>
      </w:r>
      <w:r w:rsidR="00532054">
        <w:rPr>
          <w:rFonts w:asciiTheme="majorHAnsi" w:hAnsiTheme="majorHAnsi"/>
          <w:spacing w:val="1"/>
        </w:rPr>
        <w:t>.</w:t>
      </w:r>
    </w:p>
    <w:p w14:paraId="76D17C21" w14:textId="37B7FDA8" w:rsidR="00532054" w:rsidRDefault="008A7009" w:rsidP="00532054">
      <w:pPr>
        <w:pStyle w:val="BodyText"/>
        <w:spacing w:line="276" w:lineRule="auto"/>
        <w:ind w:left="310" w:right="116" w:firstLine="410"/>
        <w:rPr>
          <w:rFonts w:asciiTheme="majorHAnsi" w:hAnsiTheme="majorHAnsi"/>
          <w:spacing w:val="1"/>
        </w:rPr>
      </w:pPr>
      <w:r w:rsidRPr="008A7009">
        <w:t>The government has a duty to provide for the general public by funding and delivering essential services. Public service providers engage in activities to meet the service requirements of all citizens for products, services, and administrative services in line with Article 1 Paragraph 1 of Law no. 25 of 2009 about Public Services</w:t>
      </w:r>
      <w:r>
        <w:t xml:space="preserve"> </w:t>
      </w:r>
      <w:r w:rsidR="00B13440">
        <w:fldChar w:fldCharType="begin"/>
      </w:r>
      <w:r w:rsidR="005424BB">
        <w:instrText xml:space="preserve"> ADDIN ZOTERO_ITEM CSL_CITATION {"citationID":"9WwcqJRO","properties":{"formattedCitation":"(Rahmadanik, 2021)","plainCitation":"(Rahmadanik, 2021)","noteIndex":0},"citationItems":[{"id":5059,"uris":["http://zotero.org/users/10969092/items/VARADQLN"],"itemData":{"id":5059,"type":"article-journal","abstract":"ABSTRAK Pelayanan publik merupakan suatu hal yang wajib diberikan pemerintah kepada masyarakat, ada beberapa jenis pelayanan publik diantaranya pelayanan barang publik, pelayanan administratif, pelayanan atas jasa publik. Disini penulis akan membahas mengenai pelayanan administratif di dinas kependudukan dan pencatatan sipil Kabupaten Sidoarjo. Kebutuhan akan administrasi kependudukan berperan penting dalam kehidupan bernegara, dan setiap masyarakat yang ada wajib memiliki data kependudukan berupa Kartu Keluarga, Kartu Tanda Penduduk, Kartu Keterangan Kematian dll. Metode penelitian yang digunakan deskripif kualitatif dengan teknik pengumpulan data yang dilakukan dengan cara observasi, wawancara dan dokumentasi. Penelitian ini bertujuan untuk mendeskripsikan dan menganalisis pelayanan publik di Dinas Kependudukan dan Pencatatan Sipil Kabupaten Sidoarjo selama era pandemi Covid-19. Dalam kajian teori tentang pelaksanaan pelayanan administratif dilihat menggunakan Teori Parasuraman tentang 5 dimensi pelayanan publik yaitu Tangibles, Reliability, Responsiveness, Assurance, dan Empathy. Dari hasil penelitian yang sudah dilakukan Dinas Kependudukan dan Pencatatan Sipil Sidoarjo sudah melakukan 5 dimensi pelayanan tersebut tetapi masih perlu ditingkatkan dalam hal Tangible, Responsiveness, dan Assurance. Perlu adanya sosialisasi kepada masyarakat tentang tata cara pemberian layanan selama pandemi Covid-19 agar tidak terjadi kerumunan, dan petugas dapat memberikan pelayanan secara online kepada masyarakat. Kata Kunci: Pelayanan Publik, administrasi kependudukan, dimensi pelayanan publik     ABSTRACT Public service is something that must be provided by the government to the community, there are several types of public services including public goods services, administrative services, services for public services. Here the author will discuss the administrative services in the population and civil registration services of Sidoarjo Regency. The need for population administration plays an important role in state life, and every existing community is required to have population data in the form of a Family Card, Identity Card, Death Certificate etc. The research method used is descriptive qualitative with data collection techniques carried out by means of observation, interviews and documentation. This study aims to describe and analyze public services at the Sidoarjo Regency Population and Civil Registration Service during the Covid-19 pandemic era. In a theoretical study of the implementation of administrative services, it is seen using the Parasuraman theory of 5 dimensions of public services, namely Tangibles, Reliability, Responsiveness, Assurance, and Empathy. From the results of research that has been carried out, the Sidoarjo Population and Civil Registration Service has carried out these 5 service dimensions but still needs to be improved in terms of Tangible, Responsiveness, and Assurance. There is a need for socialization to the public about the procedures for providing services during the Covid-19 pandemic so that crowds do not occur, and officers can provide services online to the public. Keywords: Public Services, population administration, dimensions of public services DOI : https://doi.org/10.33005/jdg.v11i1.2480","container-title":"Dinamika Governance : Jurnal Ilmu Administrasi Negara","DOI":"10.33005/jdg.v11i1.2480","ISSN":"2656-9949","issue":"1","language":"Indonesia","note":"number: 1","page":"11-18","source":"www.ejournal.upnjatim.ac.id","title":"Pelaksanaan Pelayanan Administrasi Kependudukan di Dinas Kependudukan dan Pencatatan Sipil Kabupaten Sidoarjo di Era Pandemi Covid-19","URL":"http://www.ejournal.upnjatim.ac.id/index.php/jdg/article/view/2480","volume":"11","author":[{"family":"Rahmadanik","given":"Dida"}],"accessed":{"date-parts":[["2023",10,25]]},"issued":{"date-parts":[["2021",4,20]]}}}],"schema":"https://github.com/citation-style-language/schema/raw/master/csl-citation.json"} </w:instrText>
      </w:r>
      <w:r w:rsidR="00B13440">
        <w:fldChar w:fldCharType="separate"/>
      </w:r>
      <w:r w:rsidR="005424BB">
        <w:rPr>
          <w:noProof/>
        </w:rPr>
        <w:t>(Rahmadanik, 2021)</w:t>
      </w:r>
      <w:r w:rsidR="00B13440">
        <w:fldChar w:fldCharType="end"/>
      </w:r>
      <w:r w:rsidR="00532054">
        <w:t xml:space="preserve">. </w:t>
      </w:r>
      <w:r w:rsidRPr="008A7009">
        <w:t xml:space="preserve">While maintaining a keen eye on the status of the public coffers, Chi-Kuang maintains that "the principle of public service is social benefit for every citizen." </w:t>
      </w:r>
      <w:r w:rsidR="005424BB">
        <w:fldChar w:fldCharType="begin"/>
      </w:r>
      <w:r w:rsidR="005424BB">
        <w:instrText xml:space="preserve"> ADDIN ZOTERO_ITEM CSL_CITATION {"citationID":"dWbULjhH","properties":{"formattedCitation":"(Sulistiowati, 2012)","plainCitation":"(Sulistiowati, 2012)","noteIndex":0},"citationItems":[{"id":5060,"uris":["http://zotero.org/users/10969092/items/UUMJMTGM"],"itemData":{"id":5060,"type":"article-journal","abstract":"Good public service may be achieved by allowing the government to issue license for public service delivery. The government must establish a licensing mechanism that can select the appropriate provider of public service who can satisfy the minimum standard of service. This licensing régime is expected to guarantee the reliability and quality of public service provider. While permit system is a unilateral legal action, licensing is a mutual contractual action between parties. Hence, licensing would function as a controlling norm to warrant good public service in accordance with the minimum standard. The government must be consistent with its role as a patron, and it must entrust the delivery of public service to business establishments appointed as public service provider. Semangat menyediakan layanan publik yang berkualitas diwujudkan melalui pemberian izin penyelenggaraan sektor layanan publik. Penyelenggaraan pelayanan publik pada sektor yang dapat dikerjasamakan perlu menerapkan mekanisme lisensi untuk memilih penyelenggara layanan umum yang sesuai dan mampu memenuhi standar pelayanan minimum. Rezim lisensi ini diharapkan mampu memberikan jaminan atas ketersediaan dan kualitas penyelenggara layanan umum. Berbeda dengan pemberian izin yang merupakan perbuatan hukum bersegi satu, lisensi ini bersifat kontraktual. Lisensi berfungsi sebagai norma pengendali untuk menjamin terselenggaranya layanan publik yang sesuai dengan standar pelayanan minimum. Pemerintah perlu menekankan pada peran sebagai pembina dan menyerahkan fungsi penyelenggaraan layanan publik kepada badan usaha yang menyelenggarakan layanan publik.","container-title":"Mimbar Hukum - Fakultas Hukum Universitas Gadjah Mada","DOI":"10.22146/jmh.16113","ISSN":"2443-0994","issue":"3","language":"en","license":"Copyright (c) 2013 Ms. Sulistiowati","note":"number: 3","page":"431-442","source":"journal.ugm.ac.id","title":"Penerapan Prinsip Lisensi dalam Pemberian Izin Penyelenggaraan Layanan Publik","URL":"https://journal.ugm.ac.id/jmh/article/view/16113","volume":"24","author":[{"family":"Sulistiowati","given":"Ms"}],"accessed":{"date-parts":[["2023",10,25]]},"issued":{"date-parts":[["2012"]]}}}],"schema":"https://github.com/citation-style-language/schema/raw/master/csl-citation.json"} </w:instrText>
      </w:r>
      <w:r w:rsidR="005424BB">
        <w:fldChar w:fldCharType="separate"/>
      </w:r>
      <w:r w:rsidR="005424BB">
        <w:rPr>
          <w:noProof/>
        </w:rPr>
        <w:t>(Sulistiowati, 2012)</w:t>
      </w:r>
      <w:r w:rsidR="005424BB">
        <w:fldChar w:fldCharType="end"/>
      </w:r>
      <w:r w:rsidR="00532054">
        <w:t>.</w:t>
      </w:r>
    </w:p>
    <w:p w14:paraId="5D93FAE4" w14:textId="3C2AB64D" w:rsidR="00970D51" w:rsidRDefault="008A7009" w:rsidP="00970D51">
      <w:pPr>
        <w:pStyle w:val="BodyText"/>
        <w:spacing w:line="276" w:lineRule="auto"/>
        <w:ind w:left="310" w:right="116" w:firstLine="410"/>
        <w:rPr>
          <w:rFonts w:asciiTheme="majorHAnsi" w:hAnsiTheme="majorHAnsi"/>
        </w:rPr>
      </w:pPr>
      <w:r w:rsidRPr="008A7009">
        <w:rPr>
          <w:rFonts w:asciiTheme="majorHAnsi" w:hAnsiTheme="majorHAnsi"/>
          <w:spacing w:val="1"/>
        </w:rPr>
        <w:t>Good Governance entails coordinating a better, cleaner, and more efficient state and government, and it is inseparable from public service and the execution of law</w:t>
      </w:r>
      <w:r>
        <w:rPr>
          <w:rFonts w:asciiTheme="majorHAnsi" w:hAnsiTheme="majorHAnsi"/>
          <w:spacing w:val="1"/>
        </w:rPr>
        <w:t xml:space="preserve"> </w:t>
      </w:r>
      <w:r w:rsidR="005424BB">
        <w:rPr>
          <w:rFonts w:asciiTheme="majorHAnsi" w:hAnsiTheme="majorHAnsi"/>
          <w:spacing w:val="1"/>
        </w:rPr>
        <w:fldChar w:fldCharType="begin"/>
      </w:r>
      <w:r w:rsidR="005424BB">
        <w:rPr>
          <w:rFonts w:asciiTheme="majorHAnsi" w:hAnsiTheme="majorHAnsi"/>
          <w:spacing w:val="1"/>
        </w:rPr>
        <w:instrText xml:space="preserve"> ADDIN ZOTERO_ITEM CSL_CITATION {"citationID":"6NALGjrs","properties":{"formattedCitation":"(Dr. Khoirul Huda, 2015)","plainCitation":"(Dr. Khoirul Huda, 2015)","noteIndex":0},"citationItems":[{"id":5065,"uris":["http://zotero.org/users/10969092/items/DTUGFWSG"],"itemData":{"id":5065,"type":"article-journal","abstract":"Keberadaan Ombudsman di berbagai negara modern terutama negara-negara Welfare State (Negara Kesejahteraan) merupakan suatu tonggak yang menjadi tumpuan harapan masyarakat atau warga negara untuk mempertahankan hak-haknya yang dirugikan oleh perbuatan pejabat administrasi karena keputusan yang dikeluarkannya. Ombudsman diperlukan untuk menghadapi penyalahgunaan kewenangan oleh penyelenggara pemerintahan dan sekaligus membantu aparatur negara melaksanakan penyelenggaraan negara secara efisien dan adil. Ombudsman akan mendorong pemegang kekuasaan negara melaksanakan pertanggungjawaban secara baik. Implementasi Undang-Undang tentang Ombudsman Republik Indonesia merupakan salah satu terobosan yang cukup revolusioner dan inovatif dalam sistem hukum di Indonesia. Penyelenggara pemerintah yang melakukan tindakan maladministrasi dan direkomendasikan oleh Ombudsman RI maka wajib melaksanakan rekomendasi tersebut. Ombudsman bukan sekadar lembaga pemberi pengaruh dalam pelayanan publik (Magistrature of influence), akan tetapi juga sebagai lembaga pemberi sanksi (Magistrature of sanction). Sebagaimana dalam konsideran Undang-Undang No 37 tahun 2008 tentang Ombudsman Republik Indonesia yang menyatakan bahwa pelayanan kepada masyarakat dan penegakan hukum yang dilakukan dalam rangka penyelenggaraan negara dan pemerintahan merupakan bagian yang tidak terpisahkan dari upaya untuk menciptakan pemerintahan yang baik, bersih, dan efisien guna meningkatkan kesejahteraan serta menciptakan keadilan dan kepastian hukum bagi seluruh warga negara sebagaimana dimaksud dalam UUD NRI Tahun 1945.","container-title":"JURNAL HERITAGE","ISSN":"2442-7365","issue":"1","language":"en","license":"Copyright (c) 2017","note":"number: 1","page":"13-32","source":"jurnal.yudharta.ac.id","title":"Kewenangan Ombusdman RI Dalam Menangani Tindakan Maladministrasi Oleh Penyelenggara Pemerintahan.","URL":"https://jurnal.yudharta.ac.id/v2/index.php/HERITAGE/article/view/818","volume":"3","author":[{"family":"Dr. Khoirul Huda","given":"Sh"}],"accessed":{"date-parts":[["2023",10,25]]},"issued":{"date-parts":[["2015",1,1]]}}}],"schema":"https://github.com/citation-style-language/schema/raw/master/csl-citation.json"} </w:instrText>
      </w:r>
      <w:r w:rsidR="005424BB">
        <w:rPr>
          <w:rFonts w:asciiTheme="majorHAnsi" w:hAnsiTheme="majorHAnsi"/>
          <w:spacing w:val="1"/>
        </w:rPr>
        <w:fldChar w:fldCharType="separate"/>
      </w:r>
      <w:r w:rsidR="005424BB">
        <w:rPr>
          <w:rFonts w:asciiTheme="majorHAnsi" w:hAnsiTheme="majorHAnsi"/>
          <w:noProof/>
          <w:spacing w:val="1"/>
        </w:rPr>
        <w:t>(Dr. Khoirul Huda, 2015)</w:t>
      </w:r>
      <w:r w:rsidR="005424BB">
        <w:rPr>
          <w:rFonts w:asciiTheme="majorHAnsi" w:hAnsiTheme="majorHAnsi"/>
          <w:spacing w:val="1"/>
        </w:rPr>
        <w:fldChar w:fldCharType="end"/>
      </w:r>
      <w:r w:rsidR="00970D51" w:rsidRPr="00970D51">
        <w:rPr>
          <w:rFonts w:asciiTheme="majorHAnsi" w:hAnsiTheme="majorHAnsi"/>
          <w:spacing w:val="1"/>
        </w:rPr>
        <w:t xml:space="preserve">. </w:t>
      </w:r>
      <w:r w:rsidRPr="008A7009">
        <w:rPr>
          <w:rFonts w:asciiTheme="majorHAnsi" w:hAnsiTheme="majorHAnsi"/>
          <w:spacing w:val="1"/>
        </w:rPr>
        <w:t>In line with the mission of the Republic of Indonesia's 1945 Constitution, the goal of this work is to increase prosperity and promote justice and legal certainty for all people.</w:t>
      </w:r>
    </w:p>
    <w:p w14:paraId="51CF1EB2" w14:textId="77777777" w:rsidR="008A7009" w:rsidRDefault="008A7009" w:rsidP="008A7009">
      <w:pPr>
        <w:pStyle w:val="BodyText"/>
        <w:spacing w:line="276" w:lineRule="auto"/>
        <w:ind w:left="310" w:right="116" w:firstLine="410"/>
        <w:rPr>
          <w:rFonts w:asciiTheme="majorHAnsi" w:hAnsiTheme="majorHAnsi"/>
          <w:spacing w:val="1"/>
        </w:rPr>
      </w:pPr>
      <w:r w:rsidRPr="008A7009">
        <w:rPr>
          <w:rFonts w:asciiTheme="majorHAnsi" w:hAnsiTheme="majorHAnsi"/>
          <w:spacing w:val="1"/>
        </w:rPr>
        <w:t>It is essential to Good Governance that state and government administrators be subject to oversight of their operations. The public expects a state and government system free from KKN—corruption, collusion, and nepotism—that is effective, efficient, honest, clean, open, and free.The Republic of Indonesia's constitution and government have undergone significant revisions in an effort to reorganize national and state life. The creation of new State institutions and government entities like the Ombudsman is an essential first step</w:t>
      </w:r>
      <w:r>
        <w:rPr>
          <w:rFonts w:asciiTheme="majorHAnsi" w:hAnsiTheme="majorHAnsi"/>
          <w:spacing w:val="1"/>
        </w:rPr>
        <w:t xml:space="preserve"> </w:t>
      </w:r>
      <w:r w:rsidR="005424BB">
        <w:rPr>
          <w:rFonts w:asciiTheme="majorHAnsi" w:hAnsiTheme="majorHAnsi"/>
          <w:spacing w:val="1"/>
        </w:rPr>
        <w:fldChar w:fldCharType="begin"/>
      </w:r>
      <w:r w:rsidR="005424BB">
        <w:rPr>
          <w:rFonts w:asciiTheme="majorHAnsi" w:hAnsiTheme="majorHAnsi"/>
          <w:spacing w:val="1"/>
        </w:rPr>
        <w:instrText xml:space="preserve"> ADDIN ZOTERO_ITEM CSL_CITATION {"citationID":"wG0F0KZ4","properties":{"formattedCitation":"(Nuriyanto, 2019)","plainCitation":"(Nuriyanto, 2019)","noteIndex":0},"citationItems":[{"id":5062,"uris":["http://zotero.org/users/10969092/items/4ALHTS7V"],"itemData":{"id":5062,"type":"article-journal","abstract":"Penyelenggaraan negara dan pemerintahan sebelum reformasi ditandai dengan praktik maladministrasi termasuk korupsi, kolusi dan nepotisme (KKN), sehingga mutlak diperlukan reformasi birokrasi pemerintah. Dalam rangka reformasi penyelenggaraan negara dan pemerintahan di Indonesia, didirikan lembaga baru yang tidak pernah ada pada masa pemerintahan orde lama dan orde baru yang berkuasa sebelumnya. Salah satu lembaga baru adalah Ombudsman Republik Indonesia (ORI), sehingga dalam praktik ketatanegaraan Indonesia saat ini, terdapat 4 (empat) pilar kekuasaan yang berkedudukan setara, yaitu Eksekutif, Legislatif, Yudisial dan Lembaga Negara Khusus yang terdiri dari BPK, Ombudsman, Komnas HAM dan KPK. Dengan metode penelitian normatif dan pendekatan konseptual dengan menjadikan Ombudsman sebagai obyek penelitian didapat temuan bahwa BPK, Ombudsman, Komnas HAM dan KPK yang termasuk dalam lembaga negara khusus diposisikan sejajar dengan Legislatif, Eksekutif dan Yudisial. Walaupun pengaturannya hanya didasarkan pada undang-undang. Di masa yang akan datang agar lembaga negara dan komisi-komisi tersebut semakin legitimate dan kiprahnya semakin dapat dirasakan oleh masyarakat luas dan mampu mendorong terwujudnya penyelenggaraan pemerintahan yang bersih dan berwibawa, maka sudah selayaknya keberadaan lembaga negara khusus tersebut diatur dalam ketentuan norma dasar UUD 1945.","container-title":"Jurnal Konstitusi","DOI":"10.31078/jk1616","ISSN":"1829-7706","issue":"1","language":"en","note":"number: 1\npublisher: Mahkamah Konstitusi Republik Indonesia","page":"105-126","source":"eprints.uwp.ac.id","title":"Urgensi Pengaturan Lembaga Negara Khusus dalam Undang-Undang Dasar 1945","URL":"https://doi.org/10.31078/jk1616","volume":"16","author":[{"family":"Nuriyanto","given":"Nuriyanto"}],"accessed":{"date-parts":[["2023",10,25]]},"issued":{"date-parts":[["2019"]]}}}],"schema":"https://github.com/citation-style-language/schema/raw/master/csl-citation.json"} </w:instrText>
      </w:r>
      <w:r w:rsidR="005424BB">
        <w:rPr>
          <w:rFonts w:asciiTheme="majorHAnsi" w:hAnsiTheme="majorHAnsi"/>
          <w:spacing w:val="1"/>
        </w:rPr>
        <w:fldChar w:fldCharType="separate"/>
      </w:r>
      <w:r w:rsidR="005424BB">
        <w:rPr>
          <w:rFonts w:asciiTheme="majorHAnsi" w:hAnsiTheme="majorHAnsi"/>
          <w:noProof/>
          <w:spacing w:val="1"/>
        </w:rPr>
        <w:t>(Nuriyanto, 2019)</w:t>
      </w:r>
      <w:r w:rsidR="005424BB">
        <w:rPr>
          <w:rFonts w:asciiTheme="majorHAnsi" w:hAnsiTheme="majorHAnsi"/>
          <w:spacing w:val="1"/>
        </w:rPr>
        <w:fldChar w:fldCharType="end"/>
      </w:r>
      <w:r w:rsidR="00970D51" w:rsidRPr="00970D51">
        <w:rPr>
          <w:rFonts w:asciiTheme="majorHAnsi" w:hAnsiTheme="majorHAnsi"/>
          <w:spacing w:val="1"/>
        </w:rPr>
        <w:t xml:space="preserve">. </w:t>
      </w:r>
      <w:r w:rsidRPr="008A7009">
        <w:rPr>
          <w:rFonts w:asciiTheme="majorHAnsi" w:hAnsiTheme="majorHAnsi"/>
          <w:spacing w:val="1"/>
        </w:rPr>
        <w:t>On March 10, 2000, under Presidential Decree No. 44 of 2000 establishing the National Ombudsman Commission, this body was established.</w:t>
      </w:r>
    </w:p>
    <w:p w14:paraId="3A075E07" w14:textId="77777777" w:rsidR="008A7009" w:rsidRDefault="008A7009" w:rsidP="008A7009">
      <w:pPr>
        <w:pStyle w:val="BodyText"/>
        <w:spacing w:line="276" w:lineRule="auto"/>
        <w:ind w:left="310" w:right="116" w:firstLine="410"/>
        <w:rPr>
          <w:rFonts w:asciiTheme="majorHAnsi" w:hAnsiTheme="majorHAnsi"/>
          <w:spacing w:val="1"/>
        </w:rPr>
      </w:pPr>
      <w:r w:rsidRPr="008A7009">
        <w:rPr>
          <w:rFonts w:asciiTheme="majorHAnsi" w:hAnsiTheme="majorHAnsi"/>
          <w:spacing w:val="1"/>
        </w:rPr>
        <w:t>It is widely agreed that a solid legal framework is necessary to define and enforce the tasks, powers, and authority of an external supervising organization for state and government management. This led to the creation of Law 37 of 2008, which established the office of Ombudsman for the Republic of Indonesia. Presidential Decree 44 of 2000, which created the position of National Ombudsman, has been superseded by this statute.</w:t>
      </w:r>
    </w:p>
    <w:p w14:paraId="0DE9E110" w14:textId="77777777" w:rsidR="008A7009" w:rsidRDefault="008A7009" w:rsidP="008A7009">
      <w:pPr>
        <w:pStyle w:val="BodyText"/>
        <w:spacing w:line="276" w:lineRule="auto"/>
        <w:ind w:left="310" w:right="116" w:firstLine="410"/>
        <w:rPr>
          <w:rFonts w:asciiTheme="majorHAnsi" w:hAnsiTheme="majorHAnsi"/>
          <w:spacing w:val="1"/>
        </w:rPr>
      </w:pPr>
      <w:r w:rsidRPr="008A7009">
        <w:rPr>
          <w:rFonts w:asciiTheme="majorHAnsi" w:hAnsiTheme="majorHAnsi"/>
          <w:spacing w:val="1"/>
        </w:rPr>
        <w:t>Article 2 of Law 37 of 2008 states that "The Ombudsman is a State institution that is independent and has no organic relationship with other state institutions and government agencies, and in carrying out its duties and authority is free from interference from other powers." In accordance with Article 6, the Ombudsman is responsible for monitoring the delivery of public services by all levels of government, including central and regional administrators, State-Owned Enterprises, Regional-Owned Enterprises, State-Owned Legal Entities, and private entities or individuals.</w:t>
      </w:r>
    </w:p>
    <w:p w14:paraId="33DE4DC9" w14:textId="1E110497" w:rsidR="008A7009" w:rsidRPr="008A7009" w:rsidRDefault="008A7009" w:rsidP="008A7009">
      <w:pPr>
        <w:pStyle w:val="BodyText"/>
        <w:spacing w:line="276" w:lineRule="auto"/>
        <w:ind w:left="310" w:right="116" w:firstLine="410"/>
        <w:rPr>
          <w:rFonts w:asciiTheme="majorHAnsi" w:hAnsiTheme="majorHAnsi"/>
          <w:spacing w:val="1"/>
        </w:rPr>
      </w:pPr>
      <w:r w:rsidRPr="008A7009">
        <w:rPr>
          <w:rFonts w:asciiTheme="majorHAnsi" w:hAnsiTheme="majorHAnsi"/>
          <w:spacing w:val="1"/>
        </w:rPr>
        <w:t>Due to a number of hurdles and constraints concerning legal considerations, resources, and public image and acceptability, the Ombudsman's position in Indonesia has not been perfect. The following are a few causes for the Ombudsman's underutilized position in Indonesia:</w:t>
      </w:r>
    </w:p>
    <w:p w14:paraId="79659BDA" w14:textId="7CF9BD7A" w:rsidR="00E046DA" w:rsidRDefault="008A7009" w:rsidP="00E046DA">
      <w:pPr>
        <w:pStyle w:val="BodyText"/>
        <w:numPr>
          <w:ilvl w:val="0"/>
          <w:numId w:val="25"/>
        </w:numPr>
        <w:spacing w:line="276" w:lineRule="auto"/>
        <w:ind w:right="118"/>
        <w:rPr>
          <w:rFonts w:asciiTheme="majorHAnsi" w:hAnsiTheme="majorHAnsi"/>
          <w:spacing w:val="1"/>
        </w:rPr>
      </w:pPr>
      <w:r w:rsidRPr="008A7009">
        <w:rPr>
          <w:rFonts w:asciiTheme="majorHAnsi" w:hAnsiTheme="majorHAnsi"/>
          <w:spacing w:val="1"/>
        </w:rPr>
        <w:t>One problem is that the general public in Indonesia may not understand what the Ombudsman does. This might discourage people from coming forward to report instances of improper administration to the Ombudsman.Not everyone is aware of the Ombudsman's presence, as 67% of the general population does not know what it is</w:t>
      </w:r>
      <w:r>
        <w:rPr>
          <w:rFonts w:asciiTheme="majorHAnsi" w:hAnsiTheme="majorHAnsi"/>
          <w:spacing w:val="1"/>
        </w:rPr>
        <w:t xml:space="preserve"> </w:t>
      </w:r>
      <w:r w:rsidR="0097448D">
        <w:fldChar w:fldCharType="begin"/>
      </w:r>
      <w:r w:rsidR="009411DD">
        <w:instrText xml:space="preserve"> ADDIN ZOTERO_ITEM CSL_CITATION {"citationID":"KE3a8ngb","properties":{"formattedCitation":"(Septianingtiyas &amp; Sulistyowati, 2020)","plainCitation":"(Septianingtiyas &amp; Sulistyowati, 2020)","noteIndex":0},"citationItems":[{"id":5053,"uris":["http://zotero.org/users/10969092/items/I4Z8HRES"],"itemData":{"id":5053,"type":"article-journal","abstract":"This research was conducted with the aim of analyzing the role of the Indonesian Ombudsman by ensuring that all reports are followed up and the strength of the recommendations issued, by looking at the position of the Indonesian Ombudsman in Indonesia. This research uses Institutionalism theory. The research method used in this research is descriptive qualitative with interview data collection techniques and documentation. The data obtained were then analyzed using a triangulation model, namely comparing the results of interviews, observations and review of existing documentation. The results of this study include the first one related to the recommendation of the Ombudsman of the Republic of Indonesia, still more than 50% of the reported agencies did not implement the recommendations issued. Second, that of the total 14333 reports that were submitted, all received follow-up from the Indonesian Ombudsman without any delay or failure of the investigation. Third, about 67% of the public do not know what an Ombudsman is, this shows that the Ombudsman has not been fully maximized in obtaining all reports. Fourth, that agencies receive sanctions if they do not implement recommendations, namely social sanctions in the form of publication of cases and reported agencies in the mass media and political sanctions in the form of reports from the Indonesian Ombudsman to the DPR or the President to take firm action.","container-title":"Journal of Politic and Government Studies","issue":"1","language":"id","license":"Copyright  2020 Journal of Politic and Government Studies","note":"number: 1","page":"25-36","source":"ejournal3.undip.ac.id","title":"ANALISIS PERAN OMBUDSMAN REPUBLIK INDONESIA PERIODE TAHUN 2016-2021 SEBAGAI PENGAWASAN PELAYANAN PUBLIK","URL":"https://ejournal3.undip.ac.id/index.php/jpgs/article/view/29567","volume":"10","author":[{"family":"Septianingtiyas","given":"Dwi Anggraeni"},{"family":"Sulistyowati","given":""}],"accessed":{"date-parts":[["2023",10,25]]},"issued":{"date-parts":[["2020",12,17]]}}}],"schema":"https://github.com/citation-style-language/schema/raw/master/csl-citation.json"} </w:instrText>
      </w:r>
      <w:r w:rsidR="0097448D">
        <w:fldChar w:fldCharType="separate"/>
      </w:r>
      <w:r w:rsidR="0097448D" w:rsidRPr="0097448D">
        <w:t>(Septianingtiyas &amp; Sulistyowati, 2020)</w:t>
      </w:r>
      <w:r w:rsidR="0097448D">
        <w:fldChar w:fldCharType="end"/>
      </w:r>
      <w:r w:rsidR="0097448D">
        <w:t>.</w:t>
      </w:r>
    </w:p>
    <w:p w14:paraId="4A18E724" w14:textId="7D7A34DE" w:rsidR="00E046DA" w:rsidRDefault="008A7009" w:rsidP="00E046DA">
      <w:pPr>
        <w:pStyle w:val="BodyText"/>
        <w:numPr>
          <w:ilvl w:val="0"/>
          <w:numId w:val="25"/>
        </w:numPr>
        <w:spacing w:line="276" w:lineRule="auto"/>
        <w:ind w:right="118"/>
        <w:rPr>
          <w:rFonts w:asciiTheme="majorHAnsi" w:hAnsiTheme="majorHAnsi"/>
          <w:spacing w:val="1"/>
        </w:rPr>
      </w:pPr>
      <w:r w:rsidRPr="008A7009">
        <w:rPr>
          <w:rFonts w:asciiTheme="majorHAnsi" w:hAnsiTheme="majorHAnsi"/>
          <w:spacing w:val="1"/>
        </w:rPr>
        <w:t>Non-Compliance with Recommendations: The Ombudsman's suggestions are frequently disregarded or not implemented by the relevant government bodies. This may be due to a lack of understanding or a reluctance to implement the recommendations of the Ombudsman.The Ombudsman of the Republic of Indonesia has given recommendations, however more than half of the reporting agencies are not following them</w:t>
      </w:r>
      <w:r>
        <w:rPr>
          <w:rFonts w:asciiTheme="majorHAnsi" w:hAnsiTheme="majorHAnsi"/>
          <w:spacing w:val="1"/>
        </w:rPr>
        <w:t xml:space="preserve"> </w:t>
      </w:r>
      <w:r w:rsidR="0097448D">
        <w:fldChar w:fldCharType="begin"/>
      </w:r>
      <w:r w:rsidR="009411DD">
        <w:instrText xml:space="preserve"> ADDIN ZOTERO_ITEM CSL_CITATION {"citationID":"mxp2rM6L","properties":{"formattedCitation":"(Septianingtiyas &amp; Sulistyowati, 2020)","plainCitation":"(Septianingtiyas &amp; Sulistyowati, 2020)","noteIndex":0},"citationItems":[{"id":5053,"uris":["http://zotero.org/users/10969092/items/I4Z8HRES"],"itemData":{"id":5053,"type":"article-journal","abstract":"This research was conducted with the aim of analyzing the role of the Indonesian Ombudsman by ensuring that all reports are followed up and the strength of the recommendations issued, by looking at the position of the Indonesian Ombudsman in Indonesia. This research uses Institutionalism theory. The research method used in this research is descriptive qualitative with interview data collection techniques and documentation. The data obtained were then analyzed using a triangulation model, namely comparing the results of interviews, observations and review of existing documentation. The results of this study include the first one related to the recommendation of the Ombudsman of the Republic of Indonesia, still more than 50% of the reported agencies did not implement the recommendations issued. Second, that of the total 14333 reports that were submitted, all received follow-up from the Indonesian Ombudsman without any delay or failure of the investigation. Third, about 67% of the public do not know what an Ombudsman is, this shows that the Ombudsman has not been fully maximized in obtaining all reports. Fourth, that agencies receive sanctions if they do not implement recommendations, namely social sanctions in the form of publication of cases and reported agencies in the mass media and political sanctions in the form of reports from the Indonesian Ombudsman to the DPR or the President to take firm action.","container-title":"Journal of Politic and Government Studies","issue":"1","language":"id","license":"Copyright  2020 Journal of Politic and Government Studies","note":"number: 1","page":"25-36","source":"ejournal3.undip.ac.id","title":"ANALISIS PERAN OMBUDSMAN REPUBLIK INDONESIA PERIODE TAHUN 2016-2021 SEBAGAI PENGAWASAN PELAYANAN PUBLIK","URL":"https://ejournal3.undip.ac.id/index.php/jpgs/article/view/29567","volume":"10","author":[{"family":"Septianingtiyas","given":"Dwi Anggraeni"},{"family":"Sulistyowati","given":""}],"accessed":{"date-parts":[["2023",10,25]]},"issued":{"date-parts":[["2020",12,17]]}}}],"schema":"https://github.com/citation-style-language/schema/raw/master/csl-citation.json"} </w:instrText>
      </w:r>
      <w:r w:rsidR="0097448D">
        <w:fldChar w:fldCharType="separate"/>
      </w:r>
      <w:r w:rsidR="0097448D" w:rsidRPr="0097448D">
        <w:t>(Septianingtiyas &amp; Sulistyowati, 2020)</w:t>
      </w:r>
      <w:r w:rsidR="0097448D">
        <w:fldChar w:fldCharType="end"/>
      </w:r>
      <w:r w:rsidR="0097448D">
        <w:t xml:space="preserve">. </w:t>
      </w:r>
      <w:r w:rsidRPr="008A7009">
        <w:t>Mokh Naij claims that even though the Ombudsman's recommendations are legally binding instructions under the Law, public service organizers are still not acting on them</w:t>
      </w:r>
      <w:r>
        <w:t xml:space="preserve"> </w:t>
      </w:r>
      <w:r w:rsidR="001356F8">
        <w:rPr>
          <w:rFonts w:asciiTheme="majorHAnsi" w:hAnsiTheme="majorHAnsi"/>
          <w:spacing w:val="1"/>
        </w:rPr>
        <w:fldChar w:fldCharType="begin"/>
      </w:r>
      <w:r w:rsidR="001356F8">
        <w:rPr>
          <w:rFonts w:asciiTheme="majorHAnsi" w:hAnsiTheme="majorHAnsi"/>
          <w:spacing w:val="1"/>
        </w:rPr>
        <w:instrText xml:space="preserve"> ADDIN ZOTERO_ITEM CSL_CITATION {"citationID":"HYli8m2w","properties":{"formattedCitation":"(antaranews.com, 2021)","plainCitation":"(antaranews.com, 2021)","noteIndex":0},"citationItems":[{"id":5096,"uris":["http://zotero.org/users/10969092/items/QFSGCYUR"],"itemData":{"id":5096,"type":"webpage","abstract":"Ketua Ombudsman Republik Indonesia Mokhammad Najih mengatakan bahwa terdapat pandangan mengenai perlunya pemberian sanksi yang tegas kepada para penyelenggara ...","container-title":"Antara News","note":"section: Indonesia","title":"Ombudsman: Ketidakpatuhan terhadap rekomendasi perlu mendapat sanksi","title-short":"Ombudsman","URL":"https://www.antaranews.com/berita/2472825/ombudsman-ketidakpatuhan-terhadap-rekomendasi-perlu-mendapat-sanksi","author":[{"family":"antaranews.com","given":""}],"accessed":{"date-parts":[["2023",10,25]]},"issued":{"date-parts":[["2021",10,21]]}}}],"schema":"https://github.com/citation-style-language/schema/raw/master/csl-citation.json"} </w:instrText>
      </w:r>
      <w:r w:rsidR="001356F8">
        <w:rPr>
          <w:rFonts w:asciiTheme="majorHAnsi" w:hAnsiTheme="majorHAnsi"/>
          <w:spacing w:val="1"/>
        </w:rPr>
        <w:fldChar w:fldCharType="separate"/>
      </w:r>
      <w:r w:rsidR="001356F8">
        <w:rPr>
          <w:rFonts w:asciiTheme="majorHAnsi" w:hAnsiTheme="majorHAnsi"/>
          <w:noProof/>
          <w:spacing w:val="1"/>
        </w:rPr>
        <w:t>(antaranews.com, 2021)</w:t>
      </w:r>
      <w:r w:rsidR="001356F8">
        <w:rPr>
          <w:rFonts w:asciiTheme="majorHAnsi" w:hAnsiTheme="majorHAnsi"/>
          <w:spacing w:val="1"/>
        </w:rPr>
        <w:fldChar w:fldCharType="end"/>
      </w:r>
    </w:p>
    <w:p w14:paraId="38682E1D" w14:textId="15414EE2" w:rsidR="00E046DA" w:rsidRPr="002F3C45" w:rsidRDefault="008A7009" w:rsidP="002F3C45">
      <w:pPr>
        <w:pStyle w:val="BodyText"/>
        <w:numPr>
          <w:ilvl w:val="0"/>
          <w:numId w:val="25"/>
        </w:numPr>
        <w:spacing w:line="276" w:lineRule="auto"/>
        <w:ind w:right="118"/>
        <w:rPr>
          <w:spacing w:val="1"/>
        </w:rPr>
      </w:pPr>
      <w:r w:rsidRPr="008A7009">
        <w:rPr>
          <w:spacing w:val="1"/>
        </w:rPr>
        <w:t>The Ombudsman's power may be constrained in particular situations, such as when it lacks the capacity to compel compliance with its recommendations. However, there is still room for improvement in the Ombudsman's efforts to extend their reach into other areas, such as the commercial sector. Agencies face social sanctions, such as media coverage of the case and the reporting agency, and political sanctions, such as a referral from the Indonesian Ombudsman to the DPR or the President, if they fail to implement recommendations.Ombudsman Law reform provisions, according to Ninik Rahayu, who will serve as chairman of the office from 2016-2021, should make it easier for the Ombudsman to investigate and resolve citizen concerns</w:t>
      </w:r>
      <w:r>
        <w:rPr>
          <w:color w:val="333333"/>
          <w:shd w:val="clear" w:color="auto" w:fill="FFFFFF"/>
        </w:rPr>
        <w:t xml:space="preserve"> </w:t>
      </w:r>
      <w:r w:rsidR="009E68FF" w:rsidRPr="009E68FF">
        <w:rPr>
          <w:color w:val="333333"/>
          <w:shd w:val="clear" w:color="auto" w:fill="FFFFFF"/>
        </w:rPr>
        <w:fldChar w:fldCharType="begin"/>
      </w:r>
      <w:r w:rsidR="009E68FF" w:rsidRPr="009E68FF">
        <w:rPr>
          <w:color w:val="333333"/>
          <w:shd w:val="clear" w:color="auto" w:fill="FFFFFF"/>
        </w:rPr>
        <w:instrText xml:space="preserve"> ADDIN ZOTERO_ITEM CSL_CITATION {"citationID":"E9UYxwet","properties":{"formattedCitation":"(DA, 2023)","plainCitation":"(DA, 2023)","noteIndex":0},"citationItems":[{"id":5098,"uris":["http://zotero.org/users/10969092/items/JNNWSZUE"],"itemData":{"id":5098,"type":"webpage","abstract":"Dalam rangka menindaklanjuti pengaduan masyarakat dan mengawasi indikasi tindak pidana korupsi di sektor pelayanan publik.","container-title":"hukumonline.com","language":"Indonesia","title":"Kewenangan Ombudsman Perlu Diperkuat Melalui Revisi UU","URL":"https://www.hukumonline.com/berita/a/kewenangan-ombudsman-perlu-diperkuat-melalui-revisi-uu-lt642e365f3915d/","author":[{"family":"DA","given":"Ady Thea"}],"accessed":{"date-parts":[["2023",10,25]]},"issued":{"date-parts":[["2023"]]}}}],"schema":"https://github.com/citation-style-language/schema/raw/master/csl-citation.json"} </w:instrText>
      </w:r>
      <w:r w:rsidR="009E68FF" w:rsidRPr="009E68FF">
        <w:rPr>
          <w:color w:val="333333"/>
          <w:shd w:val="clear" w:color="auto" w:fill="FFFFFF"/>
        </w:rPr>
        <w:fldChar w:fldCharType="separate"/>
      </w:r>
      <w:r w:rsidR="009E68FF" w:rsidRPr="009E68FF">
        <w:rPr>
          <w:noProof/>
          <w:color w:val="333333"/>
          <w:shd w:val="clear" w:color="auto" w:fill="FFFFFF"/>
        </w:rPr>
        <w:t>(DA, 2023)</w:t>
      </w:r>
      <w:r w:rsidR="009E68FF" w:rsidRPr="009E68FF">
        <w:rPr>
          <w:color w:val="333333"/>
          <w:shd w:val="clear" w:color="auto" w:fill="FFFFFF"/>
        </w:rPr>
        <w:fldChar w:fldCharType="end"/>
      </w:r>
      <w:r w:rsidR="009E68FF" w:rsidRPr="009E68FF">
        <w:rPr>
          <w:color w:val="333333"/>
          <w:shd w:val="clear" w:color="auto" w:fill="FFFFFF"/>
        </w:rPr>
        <w:t>.</w:t>
      </w:r>
    </w:p>
    <w:p w14:paraId="034C1F44" w14:textId="4766BEB4" w:rsidR="00970D51" w:rsidRDefault="008A7009" w:rsidP="008A7009">
      <w:pPr>
        <w:pStyle w:val="BodyText"/>
        <w:spacing w:line="276" w:lineRule="auto"/>
        <w:ind w:left="319" w:right="118" w:firstLine="720"/>
        <w:rPr>
          <w:rFonts w:asciiTheme="majorHAnsi" w:hAnsiTheme="majorHAnsi"/>
          <w:spacing w:val="1"/>
        </w:rPr>
      </w:pPr>
      <w:r w:rsidRPr="008A7009">
        <w:rPr>
          <w:rFonts w:asciiTheme="majorHAnsi" w:hAnsiTheme="majorHAnsi"/>
          <w:spacing w:val="1"/>
        </w:rPr>
        <w:t>Complex problems, like unfairness or ineffective government governance, are frequently what we find when we look into murky situations. Possible solutions include making rules more open or specific to address these concerns. The question "why is there a failure in services that are supposed to be guaranteed by the government?" comes to mind when we encounter an issue of poor management, for instance. As a result of this inquiry, we may have to dig further to determine if the problem stems from insurmountable obstacles, a dearth of resources, or a lack of trustworthiness. Similarly, we may wonder, "Why do these recommendations appear to have no binding legal force, and what are the implications for law enforcement and justice?" while discussing the Ombudsman's proposals. To what extent authority and effectiveness must go hand in hand in maintaining fairness and accountability in government is a question that arises naturally from this topic, as is the importance of mechanisms that not only respect such recommendations but also maintain a balance of power.</w:t>
      </w:r>
    </w:p>
    <w:p w14:paraId="062EDF09" w14:textId="77777777" w:rsidR="008A7009" w:rsidRDefault="008A7009" w:rsidP="00970D51">
      <w:pPr>
        <w:pStyle w:val="BodyText"/>
        <w:spacing w:line="276" w:lineRule="auto"/>
        <w:ind w:left="310" w:right="118"/>
        <w:rPr>
          <w:rFonts w:asciiTheme="majorHAnsi" w:hAnsiTheme="majorHAnsi"/>
          <w:spacing w:val="1"/>
        </w:rPr>
      </w:pPr>
    </w:p>
    <w:p w14:paraId="1A58308C" w14:textId="77777777" w:rsidR="00BC54D9" w:rsidRDefault="00C510CC">
      <w:pPr>
        <w:pStyle w:val="Heading1"/>
        <w:numPr>
          <w:ilvl w:val="0"/>
          <w:numId w:val="5"/>
        </w:numPr>
        <w:tabs>
          <w:tab w:val="left" w:pos="561"/>
        </w:tabs>
        <w:ind w:hanging="241"/>
        <w:jc w:val="both"/>
      </w:pPr>
      <w:r>
        <w:t>Research Methods</w:t>
      </w:r>
    </w:p>
    <w:p w14:paraId="13AC1154" w14:textId="2D9FCB82" w:rsidR="002F3C45" w:rsidRPr="008A7009" w:rsidRDefault="00C004FC" w:rsidP="008A7009">
      <w:pPr>
        <w:pStyle w:val="Heading1"/>
        <w:tabs>
          <w:tab w:val="left" w:pos="1155"/>
        </w:tabs>
        <w:spacing w:line="276" w:lineRule="auto"/>
        <w:ind w:left="319"/>
        <w:jc w:val="both"/>
        <w:rPr>
          <w:rFonts w:asciiTheme="majorHAnsi" w:hAnsiTheme="majorHAnsi"/>
          <w:b w:val="0"/>
          <w:bCs w:val="0"/>
        </w:rPr>
      </w:pPr>
      <w:r>
        <w:rPr>
          <w:rFonts w:asciiTheme="majorHAnsi" w:hAnsiTheme="majorHAnsi"/>
          <w:b w:val="0"/>
        </w:rPr>
        <w:tab/>
      </w:r>
      <w:r w:rsidR="008A7009" w:rsidRPr="008A7009">
        <w:rPr>
          <w:rFonts w:asciiTheme="majorHAnsi" w:eastAsia="Calibri" w:hAnsiTheme="majorHAnsi"/>
          <w:b w:val="0"/>
          <w:bCs w:val="0"/>
          <w:lang w:bidi="bn-IN"/>
        </w:rPr>
        <w:t xml:space="preserve">The concerns and/or themes that have been brought forward as research subjects classify this study as a kind of normative legal research. Philosophy and analysis inform the research methodology, with the study culminating in a conclusion that seeks to generate fresh results as a response to the central challenge identified at the outset </w:t>
      </w:r>
      <w:r w:rsidR="00565C3A" w:rsidRPr="008A7009">
        <w:rPr>
          <w:rFonts w:asciiTheme="majorHAnsi" w:eastAsia="Calibri" w:hAnsiTheme="majorHAnsi"/>
          <w:b w:val="0"/>
          <w:bCs w:val="0"/>
          <w:lang w:bidi="bn-IN"/>
        </w:rPr>
        <w:fldChar w:fldCharType="begin"/>
      </w:r>
      <w:r w:rsidR="00565C3A" w:rsidRPr="008A7009">
        <w:rPr>
          <w:rFonts w:asciiTheme="majorHAnsi" w:eastAsia="Calibri" w:hAnsiTheme="majorHAnsi"/>
          <w:b w:val="0"/>
          <w:bCs w:val="0"/>
          <w:lang w:bidi="bn-IN"/>
        </w:rPr>
        <w:instrText xml:space="preserve"> ADDIN ZOTERO_ITEM CSL_CITATION {"citationID":"k9r8gG85","properties":{"formattedCitation":"(Ishaq, 2017)","plainCitation":"(Ishaq, 2017)","noteIndex":0},"citationItems":[{"id":318,"uris":["http://zotero.org/users/10969092/items/AQ6WUWDW"],"itemData":{"id":318,"type":"book","abstract":"… 85. Page 10. METODE PENELITIAN HUKUM 2 Selanjutnya pengetahuan (knowledge) menurut Soekidjo Notoatmodjo adalah sebagai berikut … 3 . Soekidjo Notoatmodjo, Metodologi Penelitian Kesehatan, (Jakarta: Rineka Cipta, 2005), Cetakan Ketiga, hal …","note":"container-title: ALFABETA, cv","title":"Metode Penelitian Hukum Dan Penulisan Skripsi, Tesis, Serta Disertasi","author":[{"literal":"Ishaq"}],"issued":{"date-parts":[["2017"]]}}}],"schema":"https://github.com/citation-style-language/schema/raw/master/csl-citation.json"} </w:instrText>
      </w:r>
      <w:r w:rsidR="00565C3A" w:rsidRPr="008A7009">
        <w:rPr>
          <w:rFonts w:asciiTheme="majorHAnsi" w:eastAsia="Calibri" w:hAnsiTheme="majorHAnsi"/>
          <w:b w:val="0"/>
          <w:bCs w:val="0"/>
          <w:lang w:bidi="bn-IN"/>
        </w:rPr>
        <w:fldChar w:fldCharType="separate"/>
      </w:r>
      <w:r w:rsidR="00565C3A" w:rsidRPr="008A7009">
        <w:rPr>
          <w:rFonts w:asciiTheme="majorHAnsi" w:eastAsia="Calibri" w:hAnsiTheme="majorHAnsi"/>
          <w:b w:val="0"/>
          <w:bCs w:val="0"/>
          <w:noProof/>
          <w:lang w:bidi="bn-IN"/>
        </w:rPr>
        <w:t>(Ishaq, 2017)</w:t>
      </w:r>
      <w:r w:rsidR="00565C3A" w:rsidRPr="008A7009">
        <w:rPr>
          <w:rFonts w:asciiTheme="majorHAnsi" w:eastAsia="Calibri" w:hAnsiTheme="majorHAnsi"/>
          <w:b w:val="0"/>
          <w:bCs w:val="0"/>
          <w:lang w:bidi="bn-IN"/>
        </w:rPr>
        <w:fldChar w:fldCharType="end"/>
      </w:r>
      <w:r w:rsidRPr="008A7009">
        <w:rPr>
          <w:rFonts w:asciiTheme="majorHAnsi" w:eastAsia="Calibri" w:hAnsiTheme="majorHAnsi"/>
          <w:b w:val="0"/>
          <w:bCs w:val="0"/>
          <w:lang w:bidi="bn-IN"/>
        </w:rPr>
        <w:t xml:space="preserve">. </w:t>
      </w:r>
      <w:r w:rsidR="008A7009" w:rsidRPr="008A7009">
        <w:rPr>
          <w:rFonts w:asciiTheme="majorHAnsi" w:eastAsia="Calibri" w:hAnsiTheme="majorHAnsi"/>
          <w:b w:val="0"/>
          <w:bCs w:val="0"/>
          <w:lang w:bidi="bn-IN"/>
        </w:rPr>
        <w:t xml:space="preserve">In addition, it will be studied utilizing descriptive analytical techniques, such as summarizing the relevant legal theory and best practices for law enforcement </w:t>
      </w:r>
      <w:r w:rsidR="00565C3A" w:rsidRPr="008A7009">
        <w:rPr>
          <w:rFonts w:asciiTheme="majorHAnsi" w:eastAsia="Calibri" w:hAnsiTheme="majorHAnsi"/>
          <w:b w:val="0"/>
          <w:bCs w:val="0"/>
          <w:lang w:bidi="bn-IN"/>
        </w:rPr>
        <w:fldChar w:fldCharType="begin"/>
      </w:r>
      <w:r w:rsidR="00565C3A" w:rsidRPr="008A7009">
        <w:rPr>
          <w:rFonts w:asciiTheme="majorHAnsi" w:eastAsia="Calibri" w:hAnsiTheme="majorHAnsi"/>
          <w:b w:val="0"/>
          <w:bCs w:val="0"/>
          <w:lang w:bidi="bn-IN"/>
        </w:rPr>
        <w:instrText xml:space="preserve"> ADDIN ZOTERO_ITEM CSL_CITATION {"citationID":"b9gvqjCE","properties":{"formattedCitation":"(Mahmud, 2016)","plainCitation":"(Mahmud, 2016)","noteIndex":0},"citationItems":[{"id":4354,"uris":["http://zotero.org/users/10969092/items/GDPLSSN8"],"itemData":{"id":4354,"type":"book","event-place":"Jakarta","publisher":"Kencana Prenada Media Group","publisher-place":"Jakarta","title":"Pengantar Ilmu Hukum Edisi Revisi","author":[{"family":"Mahmud","given":"Peter Marzuki"}],"issued":{"date-parts":[["2016"]]}}}],"schema":"https://github.com/citation-style-language/schema/raw/master/csl-citation.json"} </w:instrText>
      </w:r>
      <w:r w:rsidR="00565C3A" w:rsidRPr="008A7009">
        <w:rPr>
          <w:rFonts w:asciiTheme="majorHAnsi" w:eastAsia="Calibri" w:hAnsiTheme="majorHAnsi"/>
          <w:b w:val="0"/>
          <w:bCs w:val="0"/>
          <w:lang w:bidi="bn-IN"/>
        </w:rPr>
        <w:fldChar w:fldCharType="separate"/>
      </w:r>
      <w:r w:rsidR="00565C3A" w:rsidRPr="008A7009">
        <w:rPr>
          <w:rFonts w:asciiTheme="majorHAnsi" w:eastAsia="Calibri" w:hAnsiTheme="majorHAnsi"/>
          <w:b w:val="0"/>
          <w:bCs w:val="0"/>
          <w:noProof/>
          <w:lang w:bidi="bn-IN"/>
        </w:rPr>
        <w:t>(Mahmud, 2016)</w:t>
      </w:r>
      <w:r w:rsidR="00565C3A" w:rsidRPr="008A7009">
        <w:rPr>
          <w:rFonts w:asciiTheme="majorHAnsi" w:eastAsia="Calibri" w:hAnsiTheme="majorHAnsi"/>
          <w:b w:val="0"/>
          <w:bCs w:val="0"/>
          <w:lang w:bidi="bn-IN"/>
        </w:rPr>
        <w:fldChar w:fldCharType="end"/>
      </w:r>
      <w:r w:rsidRPr="008A7009">
        <w:rPr>
          <w:rFonts w:asciiTheme="majorHAnsi" w:eastAsia="Calibri" w:hAnsiTheme="majorHAnsi"/>
          <w:b w:val="0"/>
          <w:bCs w:val="0"/>
          <w:lang w:bidi="bn-IN"/>
        </w:rPr>
        <w:t>.</w:t>
      </w:r>
    </w:p>
    <w:p w14:paraId="4B219124" w14:textId="22F29FE5" w:rsidR="005424BB" w:rsidRPr="00565C3A" w:rsidRDefault="008A7009" w:rsidP="002F3C45">
      <w:pPr>
        <w:shd w:val="clear" w:color="auto" w:fill="FFFFFF" w:themeFill="background1"/>
        <w:adjustRightInd w:val="0"/>
        <w:spacing w:line="276" w:lineRule="auto"/>
        <w:ind w:left="319" w:firstLine="720"/>
        <w:jc w:val="both"/>
        <w:rPr>
          <w:rFonts w:eastAsia="Calibri"/>
          <w:sz w:val="24"/>
          <w:szCs w:val="24"/>
          <w:lang w:bidi="bn-IN"/>
        </w:rPr>
      </w:pPr>
      <w:r w:rsidRPr="008A7009">
        <w:rPr>
          <w:sz w:val="24"/>
          <w:szCs w:val="24"/>
          <w:lang w:val="en-GB"/>
        </w:rPr>
        <w:t>In this analysis, secondary data are divided into three categories depending on the level of authority they contain: primary, secondary, and tertiary legal documents</w:t>
      </w:r>
      <w:r>
        <w:rPr>
          <w:sz w:val="24"/>
          <w:szCs w:val="24"/>
          <w:lang w:val="en-GB"/>
        </w:rPr>
        <w:t xml:space="preserve"> </w:t>
      </w:r>
      <w:r w:rsidR="00565C3A" w:rsidRPr="00565C3A">
        <w:rPr>
          <w:sz w:val="24"/>
          <w:szCs w:val="24"/>
          <w:lang w:val="en-GB"/>
        </w:rPr>
        <w:fldChar w:fldCharType="begin"/>
      </w:r>
      <w:r w:rsidR="00565C3A" w:rsidRPr="00565C3A">
        <w:rPr>
          <w:sz w:val="24"/>
          <w:szCs w:val="24"/>
          <w:lang w:val="en-GB"/>
        </w:rPr>
        <w:instrText xml:space="preserve"> ADDIN ZOTERO_ITEM CSL_CITATION {"citationID":"duXQ3yMV","properties":{"formattedCitation":"(Amirudin &amp; Zainal Asikin, 2004)","plainCitation":"(Amirudin &amp; Zainal Asikin, 2004)","noteIndex":0},"citationItems":[{"id":320,"uris":["http://zotero.org/users/10969092/items/XL3SNVLC"],"itemData":{"id":320,"type":"book","event-place":"Jakarta","publisher":"Radja Grafindo","publisher-place":"Jakarta","title":"Pengantar Metode Penelitian Hukum","author":[{"literal":"Amirudin"},{"literal":"Zainal Asikin"}],"issued":{"date-parts":[["2004"]]}}}],"schema":"https://github.com/citation-style-language/schema/raw/master/csl-citation.json"} </w:instrText>
      </w:r>
      <w:r w:rsidR="00565C3A" w:rsidRPr="00565C3A">
        <w:rPr>
          <w:sz w:val="24"/>
          <w:szCs w:val="24"/>
          <w:lang w:val="en-GB"/>
        </w:rPr>
        <w:fldChar w:fldCharType="separate"/>
      </w:r>
      <w:r w:rsidR="00565C3A" w:rsidRPr="00565C3A">
        <w:rPr>
          <w:noProof/>
          <w:sz w:val="24"/>
          <w:szCs w:val="24"/>
          <w:lang w:val="en-GB"/>
        </w:rPr>
        <w:t>(Amirudin &amp; Zainal Asikin, 2004)</w:t>
      </w:r>
      <w:r w:rsidR="00565C3A" w:rsidRPr="00565C3A">
        <w:rPr>
          <w:sz w:val="24"/>
          <w:szCs w:val="24"/>
          <w:lang w:val="en-GB"/>
        </w:rPr>
        <w:fldChar w:fldCharType="end"/>
      </w:r>
      <w:r w:rsidR="005424BB" w:rsidRPr="00565C3A">
        <w:rPr>
          <w:sz w:val="24"/>
          <w:szCs w:val="24"/>
          <w:lang w:val="en-GB"/>
        </w:rPr>
        <w:t xml:space="preserve">. </w:t>
      </w:r>
      <w:r w:rsidRPr="008A7009">
        <w:rPr>
          <w:sz w:val="24"/>
          <w:szCs w:val="24"/>
          <w:lang w:val="en-GB"/>
        </w:rPr>
        <w:t>Rules and regulations are examples of secondary legal materials, whereas literature that explains main legal materials is an example of primary legal materials. Public service, the concept of good governance, and other related fields all feature prominently in the literature. Tertiary legal resources are those that provide a more in-depth explanation of the primary and secondary legal documents, such as dictionaries, encyclopedias, and catalogues. Finding the relevant legal material requires a combination of library research, qualitative descriptive methods, and inductive reasoning</w:t>
      </w:r>
      <w:r>
        <w:rPr>
          <w:sz w:val="24"/>
          <w:szCs w:val="24"/>
          <w:lang w:val="en-GB"/>
        </w:rPr>
        <w:t xml:space="preserve"> </w:t>
      </w:r>
      <w:r w:rsidR="00565C3A" w:rsidRPr="00565C3A">
        <w:rPr>
          <w:sz w:val="24"/>
          <w:szCs w:val="24"/>
          <w:lang w:val="en-GB"/>
        </w:rPr>
        <w:fldChar w:fldCharType="begin"/>
      </w:r>
      <w:r w:rsidR="00565C3A" w:rsidRPr="00565C3A">
        <w:rPr>
          <w:sz w:val="24"/>
          <w:szCs w:val="24"/>
          <w:lang w:val="en-GB"/>
        </w:rPr>
        <w:instrText xml:space="preserve"> ADDIN ZOTERO_ITEM CSL_CITATION {"citationID":"z3roUIIJ","properties":{"formattedCitation":"(Soerjono Soekanto dan Sri Mamudji, 2007)","plainCitation":"(Soerjono Soekanto dan Sri Mamudji, 2007)","noteIndex":0},"citationItems":[{"id":317,"uris":["http://zotero.org/users/10969092/items/6EIX2Q77"],"itemData":{"id":317,"type":"chapter","abstract":"Penelitian merupakan suatu sarana (ilmiah) bagi pengembangan ilmu pengetahuan dan teknologi. Oleh karena itu, metodologi penelitian yang diterapkan harus senantiasa disesuaikan dengan ilmu pengetahuan yang menjadi induknya. Untuk melakukan penelitian di bidang hukum pun diperlukan metodologi penelitian khusus hukum. Bahan bacaan dalam bentuk buku mengenai penelitian hukum normatif, terutama yang ditulis dalam bahasa Indonesia, masih terbatas jumlahnya. Berbeda dengan buku-buku yang ada yang cenderung berisi metodologi penelitian hukum sosiologis atau empiris, buku ini mendasarkan penelitian pada kepustakaan, yang mencakup penelitian terhadap asas-asas hukum, sistematik hukum, taraf sinkronisasi vertical dan horizontal, perbandingan hukum, dan sejarah hukum. Pembahasan dalam buku ini diawali dengan uraian mengenai dasar ilmiah penelitian hukum normative. Selanjutnya, dijelaskan perihal prosedur mencari dan menemukan bahan-bahan hukum. Pengolahan dan analisis bahan menjadi bahan telaah lanjutan. Uraian dalam buku ini ditutup dengan satu bab yang secara khusus membahas bahasa laporan penelitian yang telah disusun oleh Dra. Ipon S. Purawijaya dari kalangan ahli bahasa.","container-title":"Rajawali Pers, Jakarta","title":"Penelitian Hukum Normatif Suatu Tinjauan Umum","author":[{"literal":"Soerjono Soekanto dan Sri Mamudji"}],"issued":{"date-parts":[["2007"]]}}}],"schema":"https://github.com/citation-style-language/schema/raw/master/csl-citation.json"} </w:instrText>
      </w:r>
      <w:r w:rsidR="00565C3A" w:rsidRPr="00565C3A">
        <w:rPr>
          <w:sz w:val="24"/>
          <w:szCs w:val="24"/>
          <w:lang w:val="en-GB"/>
        </w:rPr>
        <w:fldChar w:fldCharType="separate"/>
      </w:r>
      <w:r w:rsidR="00565C3A" w:rsidRPr="00565C3A">
        <w:rPr>
          <w:noProof/>
          <w:sz w:val="24"/>
          <w:szCs w:val="24"/>
          <w:lang w:val="en-GB"/>
        </w:rPr>
        <w:t>(Soerjono Soekanto and Sri Mamudji, 2007)</w:t>
      </w:r>
      <w:r w:rsidR="00565C3A" w:rsidRPr="00565C3A">
        <w:rPr>
          <w:sz w:val="24"/>
          <w:szCs w:val="24"/>
          <w:lang w:val="en-GB"/>
        </w:rPr>
        <w:fldChar w:fldCharType="end"/>
      </w:r>
      <w:r w:rsidR="005424BB" w:rsidRPr="00565C3A">
        <w:rPr>
          <w:sz w:val="24"/>
          <w:szCs w:val="24"/>
          <w:lang w:val="en-GB"/>
        </w:rPr>
        <w:t>.</w:t>
      </w:r>
    </w:p>
    <w:p w14:paraId="61C9F2CF" w14:textId="77777777" w:rsidR="00BC54D9" w:rsidRDefault="00BC54D9">
      <w:pPr>
        <w:pBdr>
          <w:top w:val="nil"/>
          <w:left w:val="nil"/>
          <w:bottom w:val="nil"/>
          <w:right w:val="nil"/>
          <w:between w:val="nil"/>
        </w:pBdr>
        <w:spacing w:before="2"/>
        <w:rPr>
          <w:color w:val="000000"/>
          <w:sz w:val="25"/>
          <w:szCs w:val="25"/>
        </w:rPr>
      </w:pPr>
    </w:p>
    <w:p w14:paraId="1B74DC26" w14:textId="77777777" w:rsidR="00CD7D23" w:rsidRDefault="00C510CC" w:rsidP="00CD7D23">
      <w:pPr>
        <w:pStyle w:val="Heading1"/>
        <w:numPr>
          <w:ilvl w:val="0"/>
          <w:numId w:val="5"/>
        </w:numPr>
        <w:tabs>
          <w:tab w:val="left" w:pos="561"/>
        </w:tabs>
        <w:spacing w:before="70"/>
        <w:ind w:hanging="241"/>
      </w:pPr>
      <w:r>
        <w:t>Results and Discussion</w:t>
      </w:r>
      <w:bookmarkStart w:id="0" w:name="_TOC_250004"/>
    </w:p>
    <w:p w14:paraId="6D2E5553" w14:textId="77777777" w:rsidR="0059538C" w:rsidRPr="00CD7D23" w:rsidRDefault="0059538C" w:rsidP="00CD7D23">
      <w:pPr>
        <w:pStyle w:val="Heading1"/>
        <w:tabs>
          <w:tab w:val="left" w:pos="561"/>
        </w:tabs>
        <w:spacing w:before="70"/>
        <w:ind w:left="319"/>
      </w:pPr>
      <w:r w:rsidRPr="00CD7D23">
        <w:t>Duties and Authorities of the Ombudsman of the Republic of Indonesia</w:t>
      </w:r>
      <w:bookmarkEnd w:id="0"/>
    </w:p>
    <w:p w14:paraId="02347776" w14:textId="77777777" w:rsidR="005265D8" w:rsidRDefault="005265D8" w:rsidP="005265D8">
      <w:pPr>
        <w:spacing w:line="276" w:lineRule="auto"/>
        <w:ind w:left="319" w:right="116" w:firstLine="720"/>
        <w:jc w:val="both"/>
        <w:rPr>
          <w:sz w:val="24"/>
          <w:szCs w:val="24"/>
        </w:rPr>
      </w:pPr>
      <w:r w:rsidRPr="005265D8">
        <w:rPr>
          <w:sz w:val="24"/>
          <w:szCs w:val="24"/>
        </w:rPr>
        <w:t xml:space="preserve">Representative, agent, delegate, lawyer, guardian, or anybody else authorized to act on behalf of and serve the interests of others might be thought of as an ombudsman </w:t>
      </w:r>
      <w:r w:rsidR="00565C3A" w:rsidRPr="005265D8">
        <w:rPr>
          <w:sz w:val="24"/>
          <w:szCs w:val="24"/>
        </w:rPr>
        <w:fldChar w:fldCharType="begin"/>
      </w:r>
      <w:r w:rsidR="00565C3A" w:rsidRPr="005265D8">
        <w:rPr>
          <w:sz w:val="24"/>
          <w:szCs w:val="24"/>
        </w:rPr>
        <w:instrText xml:space="preserve"> ADDIN ZOTERO_ITEM CSL_CITATION {"citationID":"3lLrOwYi","properties":{"formattedCitation":"(Tauvani, 2020)","plainCitation":"(Tauvani, 2020)","noteIndex":0},"citationItems":[{"id":5067,"uris":["http://zotero.org/users/10969092/items/VKFU2IZM"],"itemData":{"id":5067,"type":"article-journal","abstract":"Abstrak: artikel ini berusaha menjawab peran Ombudsman republik Indonesia perwakilan Provinsi Jambi dalam upaya pencegahan mal administrasi di Provinsi Jambi. Untuk mengetahui peran ombudsman republik Indonesia perwakilan Provinsi Jambi dalam upaya pencegahan mal administrasi di Provinsi Jambi dan Untuk mengetahui faktor apa sajakah yang menjadi hambatan Ombudsman Republik Indonesia perwakilan Provinsi Jambi dalam upaya pencegahan mal daministrasi di Provinsi Jambi. Metode penelitian yang penulis pergunakan dalam penulisan ini adalah yuridis empiris. Penelitian yuridis empiris berbeda dengan penelitian ilmu hukum normative, penelitian ilmu hukum empiris bertujuan untuk mengetahui sejauhmana bekerjanya hukum di dalam masyarakat. Penelitian ini menemukan bahwa pelayanan di kantor pajak pratama Jambi masih banyak dijumpai pelanggaran-pelanggaran mal administrasi dalam pembuatan nomor pokok wajib pajak. Pelanggaran ini terjadi dikarenakan kerumitan dari persyaratan-persyaratan yang diberikan oleh kantor pelayanan Pajak Pratama Jambi kepada wajib pajak. Dari temuan tersebut penelitian ini menyimpulkan banyak hambatan yang dialami oleh Ombudsman Republik Indonesia perwakilan Jambi saat melakukan pengawasan terhadap pelayanan publik di Kantor Pajak Pratama Abadi; pertama, kesadaran masyarakat tidak memadai atau kurang mengenai pelanggaran mal administrasi tersebut; kedua, kurang sarana dan prasarana dalam melakukan pengawasan pelayanan publik; ketiga, rekomendasi yang dikeluarkan oleh Ombudsman Republik Indonesia dianggap sebelah mata dikarenakan tidak mempunyai akibat hukum. Kata Kunci : Ombudsman RI, Pengawasan, Pelayanan Publik, UU No 37 Tahun 2008. Abstract: preliminary; To determine the role of the ombudsman of the Jambi province of the republic of Indonesia in efforts to prevent administrative malls in Jambi Province. The results of this study are expected to enrich the references and literature in the world of literature about the role of the Indonesian Ombudsman institution. Aim; To find out the role of the Indonesian republican ombudsman in Jambi Province representation in conducting the administration mall prevention efforts in Jambi Province and to find out what factors that becomes the obstacles to the Republic of Indonesia Ombudsman representing Jambi Province in the prevention efforts of the administrative mall in Jambi Province Method; The type of research that the author uses in this writing is empirical juridical. Empirical juridical research is different from normative legal research, empirical legal research aims to find out how far the law works in society. Results; At the Pratama Jambi tax service office there were still many administrative malls violations in the making of the taxpayer's principal number. This violation occurred due to the complexity of the requirements provided by the Pratama Jambi tax service office to taxpayers. Conclusion; There are many obstacles experienced by the Jambi Republic's Ombudsman when Jambi oversees public services at the Pratama Abadi Tax Office, the first is the lack of public awareness of the administrative mall violations, the second is the lack of facilities and infrastructure in overseeing public services, the third is that recommendations issued by the Republic of Indonesia Ombudsman are considered lightly because they have no legal consequences.Keyword : ombudsman, Supervision, Public Services, Law No. 37 of 2008.","container-title":"Journal Analytica Islamica","ISSN":"2541-5263","issue":"1","language":"en-US","license":"Copyright (c) 2020 Journal Analytica Islamica","note":"number: 1","page":"38-51","source":"jurnal.uinsu.ac.id","title":"THE ROLE OF THE OMBUDSMAN OF THE JAMBI PROVINCE OF THE REPUBLIC OF INDONESIA IN DOING SUPERVISION OF THE PUBLIC SERVICE INSTITUTION IN THE JAMBI PRATAMA TAX SERVICE OFFICE BASED ON LAW NUMBER 37 OF 2008","URL":"http://jurnal.uinsu.ac.id/index.php/analytica/article/view/8412","volume":"9","author":[{"family":"Tauvani","given":"A. Yuli"}],"accessed":{"date-parts":[["2023",10,25]]},"issued":{"date-parts":[["2020"]]}}}],"schema":"https://github.com/citation-style-language/schema/raw/master/csl-citation.json"} </w:instrText>
      </w:r>
      <w:r w:rsidR="00565C3A" w:rsidRPr="005265D8">
        <w:rPr>
          <w:sz w:val="24"/>
          <w:szCs w:val="24"/>
        </w:rPr>
        <w:fldChar w:fldCharType="separate"/>
      </w:r>
      <w:r w:rsidR="00565C3A" w:rsidRPr="005265D8">
        <w:rPr>
          <w:noProof/>
          <w:sz w:val="24"/>
          <w:szCs w:val="24"/>
        </w:rPr>
        <w:t>(Tauvani, 2020)</w:t>
      </w:r>
      <w:r w:rsidR="00565C3A" w:rsidRPr="005265D8">
        <w:rPr>
          <w:sz w:val="24"/>
          <w:szCs w:val="24"/>
        </w:rPr>
        <w:fldChar w:fldCharType="end"/>
      </w:r>
      <w:r w:rsidR="0059538C" w:rsidRPr="005265D8">
        <w:rPr>
          <w:sz w:val="24"/>
          <w:szCs w:val="24"/>
        </w:rPr>
        <w:t>,</w:t>
      </w:r>
      <w:r w:rsidR="0059538C" w:rsidRPr="002F3C45">
        <w:rPr>
          <w:sz w:val="24"/>
          <w:szCs w:val="24"/>
        </w:rPr>
        <w:t xml:space="preserve"> </w:t>
      </w:r>
      <w:r w:rsidRPr="005265D8">
        <w:rPr>
          <w:sz w:val="24"/>
          <w:szCs w:val="24"/>
        </w:rPr>
        <w:t>meaning "persons requested by others to undertake to represent the interests of and act for the benefit of" another party. When discharging its responsibilities and exercising its jurisdiction, the Ombudsman of the Republic of Indonesia is not constrained in any way by the other branches of government or other state organizations with whom it has no formal connection</w:t>
      </w:r>
      <w:r>
        <w:rPr>
          <w:sz w:val="24"/>
          <w:szCs w:val="24"/>
        </w:rPr>
        <w:t xml:space="preserve"> </w:t>
      </w:r>
      <w:r w:rsidR="00565C3A" w:rsidRPr="002F3C45">
        <w:rPr>
          <w:sz w:val="24"/>
          <w:szCs w:val="24"/>
        </w:rPr>
        <w:fldChar w:fldCharType="begin"/>
      </w:r>
      <w:r w:rsidR="00565C3A" w:rsidRPr="002F3C45">
        <w:rPr>
          <w:sz w:val="24"/>
          <w:szCs w:val="24"/>
        </w:rPr>
        <w:instrText xml:space="preserve"> ADDIN ZOTERO_ITEM CSL_CITATION {"citationID":"eQh63PPY","properties":{"formattedCitation":"(Desiana, 2013)","plainCitation":"(Desiana, 2013)","noteIndex":0},"citationItems":[{"id":5069,"uris":["http://zotero.org/users/10969092/items/ALA5Z4FH"],"itemData":{"id":5069,"type":"article-journal","abstract":"Ombudsman merupakan sebuah lembaga yang memiliki kewenangan melakukan pengawasan terhadap penyelenggaraan  pelayanan publik yang diselenggarakan oleh penyelenggara Negara dan pemerintahan termasuk yang diselenggarakan olen Badan Usaha Milik Negara dan Badan Usaha Milik Daerah yang diberi tugas menyelenggarakan pelayanan publik. Pengawasan yang dilakukan oleh Ombudsman terhadap penyelenggaraan pelayanan publik merupakan bentuk pengawasan eksternal yang bersifat represif. karena pengawasan tersebut dilakukan oleh lembaga diluar lembaga atau organ pemerintahan yang diawasi dan  pada dasarnya pengawasan yang dilakukan oleh Ombudsman tersebut berbasis dari pengawasan masyarakat kemudian  pengawasan lebih lanjut dilakukan oleh Ombudsman dan pengawasan tersebut dilakukan terhadap pengaduan oleh masyarakat terhadap tindakan  maladministrasi yang dilakukan oleh pejabat publik.Jadi Pengawasan Ombudsman disini merupakan upaya bagaimana tindak lanjut atau penegakkan hukum dari penyimpangan yang dilakukan oleh penyelenggaran pelayanan publik.   Kata Kunci : Pengawasan, Ombudsman, Penyelenggaraan, Pelayanan Publik","container-title":"INOVATIF | Jurnal Ilmu Hukum","issue":"2","language":"en","license":"Copyright (c)","note":"number: 2","source":"mail.online-journal.unja.ac.id","title":"Analisis Konsep Pengawasan Ombudsman terhadap Penyelenggaraan Pelayanan Publik","URL":"https://mail.online-journal.unja.ac.id/jimih/article/view/2125","volume":"6","author":[{"family":"Desiana","given":"Ayu"}],"accessed":{"date-parts":[["2023",10,25]]},"issued":{"date-parts":[["2013"]]}}}],"schema":"https://github.com/citation-style-language/schema/raw/master/csl-citation.json"} </w:instrText>
      </w:r>
      <w:r w:rsidR="00565C3A" w:rsidRPr="002F3C45">
        <w:rPr>
          <w:sz w:val="24"/>
          <w:szCs w:val="24"/>
        </w:rPr>
        <w:fldChar w:fldCharType="separate"/>
      </w:r>
      <w:r w:rsidR="00565C3A" w:rsidRPr="002F3C45">
        <w:rPr>
          <w:noProof/>
          <w:sz w:val="24"/>
          <w:szCs w:val="24"/>
        </w:rPr>
        <w:t>(Desiana, 2013)</w:t>
      </w:r>
      <w:r w:rsidR="00565C3A" w:rsidRPr="002F3C45">
        <w:rPr>
          <w:sz w:val="24"/>
          <w:szCs w:val="24"/>
        </w:rPr>
        <w:fldChar w:fldCharType="end"/>
      </w:r>
      <w:r w:rsidR="0059538C" w:rsidRPr="002F3C45">
        <w:rPr>
          <w:sz w:val="24"/>
          <w:szCs w:val="24"/>
        </w:rPr>
        <w:t>.</w:t>
      </w:r>
    </w:p>
    <w:p w14:paraId="32DE6DAA" w14:textId="77777777" w:rsidR="005265D8" w:rsidRDefault="005265D8" w:rsidP="005265D8">
      <w:pPr>
        <w:spacing w:line="276" w:lineRule="auto"/>
        <w:ind w:left="319" w:right="116" w:firstLine="720"/>
        <w:jc w:val="both"/>
        <w:rPr>
          <w:sz w:val="24"/>
          <w:szCs w:val="24"/>
        </w:rPr>
      </w:pPr>
      <w:r w:rsidRPr="005265D8">
        <w:rPr>
          <w:sz w:val="24"/>
          <w:szCs w:val="24"/>
        </w:rPr>
        <w:t>According to Article 1 to 1 of the Ombudsman Law, "The Ombudsman of the Republic of Indonesia, hereinafter referred to as the Ombudsman, is a state institution which has the authority to supervise the implementation of public services, both organized by state and government administrators," including the right to investigate complaints about the government's performance.</w:t>
      </w:r>
    </w:p>
    <w:p w14:paraId="369B8111" w14:textId="77777777" w:rsidR="001C0B9B" w:rsidRPr="001C0B9B" w:rsidRDefault="005265D8" w:rsidP="001C0B9B">
      <w:pPr>
        <w:spacing w:line="276" w:lineRule="auto"/>
        <w:ind w:left="319" w:right="116" w:firstLine="720"/>
        <w:jc w:val="both"/>
        <w:rPr>
          <w:sz w:val="24"/>
          <w:szCs w:val="24"/>
        </w:rPr>
      </w:pPr>
      <w:r w:rsidRPr="005265D8">
        <w:rPr>
          <w:sz w:val="24"/>
          <w:szCs w:val="24"/>
        </w:rPr>
        <w:t xml:space="preserve">If the need arises, the Chairman of the National Ombudsman may appoint Ombudsman Representatives in province, Regency/City areas who are an integral component of </w:t>
      </w:r>
      <w:r w:rsidRPr="001C0B9B">
        <w:rPr>
          <w:sz w:val="24"/>
          <w:szCs w:val="24"/>
        </w:rPr>
        <w:t>the National Ombudsman and whose job it is to accelerate oversight of the execution of state tasks in the regions. The regional representatives of the National Ombudsman are subject to the same laws, rules, and regulations as the National Ombudsman.</w:t>
      </w:r>
    </w:p>
    <w:p w14:paraId="1E5CC064" w14:textId="0E3A55A9" w:rsidR="001C0B9B" w:rsidRPr="001C0B9B" w:rsidRDefault="001C0B9B" w:rsidP="001C0B9B">
      <w:pPr>
        <w:spacing w:line="276" w:lineRule="auto"/>
        <w:ind w:left="319" w:right="116" w:firstLine="720"/>
        <w:jc w:val="both"/>
        <w:rPr>
          <w:sz w:val="24"/>
          <w:szCs w:val="24"/>
        </w:rPr>
      </w:pPr>
      <w:r w:rsidRPr="001C0B9B">
        <w:rPr>
          <w:sz w:val="24"/>
          <w:szCs w:val="24"/>
        </w:rPr>
        <w:t>The Indonesian Ombudsman Commission serves the following functions, as stated in Article 4 of Law of the Republic of Indonesia No. 37 of 2008 about the Ombudsman of the Republic of Indonesia: Realizing a democratic, just, and prosperous legal state; Encouraging state and government administration that is effective and efficient, honest, open, clean, and free of corruption, collusion, and nepotism; Increasing the quality of state services in all fields so that every citizen and resident obtains justice, a sense of security, and better prosperity; Creating and increasing efforts to eradicate and prevent maladministrative practices, discrimination, collegiality, and nepotism.</w:t>
      </w:r>
    </w:p>
    <w:p w14:paraId="2317EBFE" w14:textId="3DFCA9BA" w:rsidR="0059538C" w:rsidRPr="002F3C45" w:rsidRDefault="0059538C" w:rsidP="001C0B9B">
      <w:pPr>
        <w:pStyle w:val="BodyText"/>
        <w:spacing w:line="276" w:lineRule="auto"/>
        <w:ind w:left="0" w:right="118" w:firstLine="720"/>
      </w:pPr>
      <w:r w:rsidRPr="001C0B9B">
        <w:t>The Ombudsman has the</w:t>
      </w:r>
      <w:r w:rsidRPr="002F3C45">
        <w:t xml:space="preserve"> task of receiving public reports in relation to mal-administration, as stated in Article 7 of Law no. 37 of 2008 concerning the Indonesian Ombudsman, which states</w:t>
      </w:r>
      <w:r w:rsidR="001C0B9B">
        <w:t xml:space="preserve"> </w:t>
      </w:r>
      <w:r w:rsidR="001C0B9B" w:rsidRPr="001C0B9B">
        <w:t>The Ombudsman's role is to: (1) receive reports of alleged maladministration in the implementation of public services; (2) conduct a substantive examination of the Report; (3) follow up on reports within the scope of the Ombudsman's authority; (4) investigate allegations of alleged maladministration in the implementation of public services on their own initiative; and (5) coordinate and cooperate with state institutions or other government institutions and community institutions.</w:t>
      </w:r>
    </w:p>
    <w:p w14:paraId="67C523A5" w14:textId="77777777" w:rsidR="0059538C" w:rsidRPr="002F3C45" w:rsidRDefault="0059538C" w:rsidP="004D7AB9">
      <w:pPr>
        <w:pStyle w:val="BodyText"/>
        <w:spacing w:line="276" w:lineRule="auto"/>
        <w:ind w:left="0" w:right="117" w:firstLine="720"/>
      </w:pPr>
      <w:r w:rsidRPr="002F3C45">
        <w:t>The implementation of the Ombudsman's duties is also supported by the authority he has in order to move towards the principles of Good Governance, which are summarized in Article 8 of Law no. 37 of 2008 concerning the Indonesian Ombudsman, which states:</w:t>
      </w:r>
    </w:p>
    <w:p w14:paraId="10F56FE0" w14:textId="77777777" w:rsidR="0059538C" w:rsidRPr="002F3C45" w:rsidRDefault="0059538C" w:rsidP="004D7AB9">
      <w:pPr>
        <w:pStyle w:val="ListParagraph"/>
        <w:numPr>
          <w:ilvl w:val="0"/>
          <w:numId w:val="14"/>
        </w:numPr>
        <w:tabs>
          <w:tab w:val="left" w:pos="1297"/>
        </w:tabs>
        <w:autoSpaceDE w:val="0"/>
        <w:autoSpaceDN w:val="0"/>
        <w:spacing w:before="200" w:line="276" w:lineRule="auto"/>
        <w:ind w:left="1143" w:right="124"/>
        <w:rPr>
          <w:sz w:val="24"/>
          <w:szCs w:val="24"/>
        </w:rPr>
      </w:pPr>
      <w:r w:rsidRPr="002F3C45">
        <w:rPr>
          <w:sz w:val="24"/>
          <w:szCs w:val="24"/>
        </w:rPr>
        <w:t>In carrying out the functions and duties as intended in Article 6 and Article 7, the Ombudsman has the authority to:</w:t>
      </w:r>
    </w:p>
    <w:p w14:paraId="32D18C50" w14:textId="77777777" w:rsidR="0059538C" w:rsidRPr="002F3C45" w:rsidRDefault="0059538C" w:rsidP="004D7AB9">
      <w:pPr>
        <w:pStyle w:val="ListParagraph"/>
        <w:numPr>
          <w:ilvl w:val="1"/>
          <w:numId w:val="14"/>
        </w:numPr>
        <w:tabs>
          <w:tab w:val="left" w:pos="2017"/>
        </w:tabs>
        <w:autoSpaceDE w:val="0"/>
        <w:autoSpaceDN w:val="0"/>
        <w:spacing w:before="1" w:line="276" w:lineRule="auto"/>
        <w:ind w:left="1863" w:right="123"/>
        <w:rPr>
          <w:sz w:val="24"/>
          <w:szCs w:val="24"/>
        </w:rPr>
      </w:pPr>
      <w:r w:rsidRPr="002F3C45">
        <w:rPr>
          <w:sz w:val="24"/>
          <w:szCs w:val="24"/>
        </w:rPr>
        <w:t>request verbal and/or written information from the Reporter, Reported Party, or other related parties regarding the Report submitted to the Ombudsman;</w:t>
      </w:r>
    </w:p>
    <w:p w14:paraId="2C00ABC9" w14:textId="77777777" w:rsidR="0059538C" w:rsidRPr="002F3C45" w:rsidRDefault="0059538C" w:rsidP="004D7AB9">
      <w:pPr>
        <w:pStyle w:val="ListParagraph"/>
        <w:numPr>
          <w:ilvl w:val="1"/>
          <w:numId w:val="14"/>
        </w:numPr>
        <w:tabs>
          <w:tab w:val="left" w:pos="2017"/>
        </w:tabs>
        <w:autoSpaceDE w:val="0"/>
        <w:autoSpaceDN w:val="0"/>
        <w:spacing w:line="276" w:lineRule="auto"/>
        <w:ind w:left="1863" w:right="120"/>
        <w:rPr>
          <w:sz w:val="24"/>
          <w:szCs w:val="24"/>
        </w:rPr>
      </w:pPr>
      <w:r w:rsidRPr="002F3C45">
        <w:rPr>
          <w:sz w:val="24"/>
          <w:szCs w:val="24"/>
        </w:rPr>
        <w:t>examine decisions, correspondence or other documents held by the Reporting Party or Reported Party to obtain the truth of a Report;</w:t>
      </w:r>
    </w:p>
    <w:p w14:paraId="30CB05E1" w14:textId="77777777" w:rsidR="0059538C" w:rsidRPr="002F3C45" w:rsidRDefault="0059538C" w:rsidP="004D7AB9">
      <w:pPr>
        <w:pStyle w:val="ListParagraph"/>
        <w:numPr>
          <w:ilvl w:val="1"/>
          <w:numId w:val="14"/>
        </w:numPr>
        <w:tabs>
          <w:tab w:val="left" w:pos="2017"/>
        </w:tabs>
        <w:autoSpaceDE w:val="0"/>
        <w:autoSpaceDN w:val="0"/>
        <w:spacing w:before="98" w:line="276" w:lineRule="auto"/>
        <w:ind w:left="1863" w:right="122"/>
        <w:rPr>
          <w:sz w:val="24"/>
          <w:szCs w:val="24"/>
        </w:rPr>
      </w:pPr>
      <w:r w:rsidRPr="002F3C45">
        <w:rPr>
          <w:sz w:val="24"/>
          <w:szCs w:val="24"/>
        </w:rPr>
        <w:t>request clarification and/or copies or photocopies of documents required from any agency for examination of the Report from the Reported agency;</w:t>
      </w:r>
    </w:p>
    <w:p w14:paraId="77AD43A1" w14:textId="77777777" w:rsidR="0059538C" w:rsidRPr="002F3C45" w:rsidRDefault="0059538C" w:rsidP="004D7AB9">
      <w:pPr>
        <w:pStyle w:val="ListParagraph"/>
        <w:numPr>
          <w:ilvl w:val="1"/>
          <w:numId w:val="14"/>
        </w:numPr>
        <w:tabs>
          <w:tab w:val="left" w:pos="2017"/>
        </w:tabs>
        <w:autoSpaceDE w:val="0"/>
        <w:autoSpaceDN w:val="0"/>
        <w:spacing w:line="276" w:lineRule="auto"/>
        <w:ind w:left="1863" w:right="122"/>
        <w:rPr>
          <w:sz w:val="24"/>
          <w:szCs w:val="24"/>
        </w:rPr>
      </w:pPr>
      <w:r w:rsidRPr="002F3C45">
        <w:rPr>
          <w:sz w:val="24"/>
          <w:szCs w:val="24"/>
        </w:rPr>
        <w:t>summon the Reporter, Reported Party, and other parties related to the Report;</w:t>
      </w:r>
    </w:p>
    <w:p w14:paraId="4D086ED9" w14:textId="77777777" w:rsidR="0059538C" w:rsidRPr="002F3C45" w:rsidRDefault="0059538C" w:rsidP="004D7AB9">
      <w:pPr>
        <w:pStyle w:val="ListParagraph"/>
        <w:numPr>
          <w:ilvl w:val="1"/>
          <w:numId w:val="14"/>
        </w:numPr>
        <w:tabs>
          <w:tab w:val="left" w:pos="2017"/>
        </w:tabs>
        <w:autoSpaceDE w:val="0"/>
        <w:autoSpaceDN w:val="0"/>
        <w:spacing w:line="276" w:lineRule="auto"/>
        <w:ind w:left="1863" w:right="122"/>
        <w:rPr>
          <w:sz w:val="24"/>
          <w:szCs w:val="24"/>
        </w:rPr>
      </w:pPr>
      <w:r w:rsidRPr="002F3C45">
        <w:rPr>
          <w:sz w:val="24"/>
          <w:szCs w:val="24"/>
        </w:rPr>
        <w:t>complete reports through mediation and conciliation at the request of the parties;</w:t>
      </w:r>
    </w:p>
    <w:p w14:paraId="5791624F" w14:textId="77777777" w:rsidR="0059538C" w:rsidRPr="002F3C45" w:rsidRDefault="0059538C" w:rsidP="004D7AB9">
      <w:pPr>
        <w:pStyle w:val="ListParagraph"/>
        <w:numPr>
          <w:ilvl w:val="1"/>
          <w:numId w:val="14"/>
        </w:numPr>
        <w:tabs>
          <w:tab w:val="left" w:pos="2017"/>
        </w:tabs>
        <w:autoSpaceDE w:val="0"/>
        <w:autoSpaceDN w:val="0"/>
        <w:spacing w:line="276" w:lineRule="auto"/>
        <w:ind w:left="1863" w:right="122"/>
        <w:rPr>
          <w:sz w:val="24"/>
          <w:szCs w:val="24"/>
        </w:rPr>
      </w:pPr>
      <w:r w:rsidRPr="002F3C45">
        <w:rPr>
          <w:sz w:val="24"/>
          <w:szCs w:val="24"/>
        </w:rPr>
        <w:t>make recommendations regarding the completion of the Report, including recommendations for paying compensation and/or rehabilitation to the injured party;</w:t>
      </w:r>
    </w:p>
    <w:p w14:paraId="6F924705" w14:textId="77777777" w:rsidR="003A1663" w:rsidRDefault="0059538C" w:rsidP="003A1663">
      <w:pPr>
        <w:pStyle w:val="ListParagraph"/>
        <w:numPr>
          <w:ilvl w:val="1"/>
          <w:numId w:val="14"/>
        </w:numPr>
        <w:tabs>
          <w:tab w:val="left" w:pos="2017"/>
        </w:tabs>
        <w:autoSpaceDE w:val="0"/>
        <w:autoSpaceDN w:val="0"/>
        <w:spacing w:line="276" w:lineRule="auto"/>
        <w:ind w:left="1863" w:right="124"/>
        <w:rPr>
          <w:sz w:val="24"/>
          <w:szCs w:val="24"/>
        </w:rPr>
      </w:pPr>
      <w:r w:rsidRPr="002F3C45">
        <w:rPr>
          <w:sz w:val="24"/>
          <w:szCs w:val="24"/>
        </w:rPr>
        <w:t>in the public interest to announce findings, conclusions and recommendations.</w:t>
      </w:r>
      <w:bookmarkStart w:id="1" w:name="_TOC_250003"/>
    </w:p>
    <w:p w14:paraId="456241A7" w14:textId="0B474787" w:rsidR="001C0B9B" w:rsidRPr="003A1663" w:rsidRDefault="001C0B9B" w:rsidP="003A1663">
      <w:pPr>
        <w:tabs>
          <w:tab w:val="left" w:pos="2017"/>
        </w:tabs>
        <w:autoSpaceDE w:val="0"/>
        <w:autoSpaceDN w:val="0"/>
        <w:spacing w:line="276" w:lineRule="auto"/>
        <w:ind w:right="124"/>
        <w:rPr>
          <w:sz w:val="24"/>
          <w:szCs w:val="24"/>
        </w:rPr>
      </w:pPr>
      <w:r w:rsidRPr="003A1663">
        <w:rPr>
          <w:sz w:val="24"/>
          <w:szCs w:val="24"/>
        </w:rPr>
        <w:t>The Ombudsman's powers include, but are not limited to, those listed in subparagraphs (a) and (b).</w:t>
      </w:r>
    </w:p>
    <w:p w14:paraId="03349AF8" w14:textId="3802256B" w:rsidR="001C0B9B" w:rsidRPr="001C0B9B" w:rsidRDefault="001C0B9B" w:rsidP="003A1663">
      <w:pPr>
        <w:pStyle w:val="ListParagraph"/>
        <w:numPr>
          <w:ilvl w:val="0"/>
          <w:numId w:val="30"/>
        </w:numPr>
        <w:tabs>
          <w:tab w:val="left" w:pos="2007"/>
        </w:tabs>
        <w:autoSpaceDE w:val="0"/>
        <w:autoSpaceDN w:val="0"/>
        <w:spacing w:line="276" w:lineRule="auto"/>
        <w:ind w:right="119"/>
        <w:rPr>
          <w:sz w:val="24"/>
          <w:szCs w:val="24"/>
        </w:rPr>
      </w:pPr>
      <w:r w:rsidRPr="001C0B9B">
        <w:rPr>
          <w:sz w:val="24"/>
          <w:szCs w:val="24"/>
        </w:rPr>
        <w:t>Provide recommendations for improvement and refinement of public service organizations and/or processes to the President, regional leaders, or other heads of State Administrators;</w:t>
      </w:r>
    </w:p>
    <w:p w14:paraId="48F7A31A" w14:textId="0A8AA04F" w:rsidR="0059538C" w:rsidRDefault="001C0B9B" w:rsidP="003A1663">
      <w:pPr>
        <w:pStyle w:val="ListParagraph"/>
        <w:numPr>
          <w:ilvl w:val="0"/>
          <w:numId w:val="30"/>
        </w:numPr>
        <w:tabs>
          <w:tab w:val="left" w:pos="2007"/>
        </w:tabs>
        <w:autoSpaceDE w:val="0"/>
        <w:autoSpaceDN w:val="0"/>
        <w:spacing w:line="276" w:lineRule="auto"/>
        <w:ind w:right="119"/>
        <w:rPr>
          <w:sz w:val="24"/>
          <w:szCs w:val="24"/>
        </w:rPr>
      </w:pPr>
      <w:r w:rsidRPr="001C0B9B">
        <w:rPr>
          <w:sz w:val="24"/>
          <w:szCs w:val="24"/>
        </w:rPr>
        <w:t>Recommend modifications to laws and other statutory rules to the People's Representative Council and/or the President, the Regional People's Representative Council and/or regional leaders in order to avoid maladministration.</w:t>
      </w:r>
    </w:p>
    <w:p w14:paraId="40A60AAE" w14:textId="77777777" w:rsidR="003A1663" w:rsidRPr="001C0B9B" w:rsidRDefault="003A1663" w:rsidP="003A1663">
      <w:pPr>
        <w:pStyle w:val="ListParagraph"/>
        <w:tabs>
          <w:tab w:val="left" w:pos="2007"/>
        </w:tabs>
        <w:autoSpaceDE w:val="0"/>
        <w:autoSpaceDN w:val="0"/>
        <w:spacing w:line="276" w:lineRule="auto"/>
        <w:ind w:left="2016" w:right="119" w:firstLine="0"/>
        <w:rPr>
          <w:sz w:val="24"/>
          <w:szCs w:val="24"/>
        </w:rPr>
      </w:pPr>
    </w:p>
    <w:p w14:paraId="5F38F95B" w14:textId="77777777" w:rsidR="0059538C" w:rsidRPr="0059538C" w:rsidRDefault="0059538C" w:rsidP="00CD7D23">
      <w:pPr>
        <w:pStyle w:val="ListParagraph"/>
        <w:ind w:left="560" w:firstLine="0"/>
        <w:rPr>
          <w:b/>
          <w:bCs/>
          <w:sz w:val="24"/>
          <w:szCs w:val="24"/>
        </w:rPr>
      </w:pPr>
      <w:r w:rsidRPr="0059538C">
        <w:rPr>
          <w:b/>
          <w:bCs/>
          <w:sz w:val="24"/>
          <w:szCs w:val="24"/>
        </w:rPr>
        <w:t>Supervision System Carried Out by the Ombudsman of the Republic of Indonesia</w:t>
      </w:r>
      <w:bookmarkEnd w:id="1"/>
    </w:p>
    <w:p w14:paraId="27C2FAE4" w14:textId="3063AED8" w:rsidR="002F3C45" w:rsidRDefault="007E7501" w:rsidP="002F3C45">
      <w:pPr>
        <w:pStyle w:val="BodyText"/>
        <w:spacing w:line="276" w:lineRule="auto"/>
        <w:ind w:left="560" w:right="117" w:firstLine="720"/>
      </w:pPr>
      <w:r w:rsidRPr="007E7501">
        <w:t>The primary focus of supervision is to ensure that the desired outcomes are not compromised in any way</w:t>
      </w:r>
      <w:r>
        <w:t xml:space="preserve"> </w:t>
      </w:r>
      <w:r w:rsidR="00565C3A">
        <w:fldChar w:fldCharType="begin"/>
      </w:r>
      <w:r w:rsidR="00565C3A">
        <w:instrText xml:space="preserve"> ADDIN ZOTERO_ITEM CSL_CITATION {"citationID":"3tFpgH59","properties":{"formattedCitation":"(Bate\\uc0\\u8217{}e &amp; Gea, 2018)","plainCitation":"(Bate’e &amp; Gea, 2018)","noteIndex":0},"citationItems":[{"id":5071,"uris":["http://zotero.org/users/10969092/items/SNKJC5FY"],"itemData":{"id":5071,"type":"article-journal","abstract":"Pengawasan pada dasarnya diarahkan sepenuhnya untuk menghindari adanya kemungkinan penyelewengan atau penyimpangan atas tujuan yang akan dicapai. Pengawasan adalah proses penentuan apa yang akan dicapai sesuai dengan standar yang berlaku, apa yang sedang dilakukan, bagaimana menilai pelaksanaannya, dan bilamana perlu mengambil tindakan yang korektif. Tujuan dari penelitian ini untuk mengetahui efektivitas fungsi pengawasan pendistribusian Raskin di Desa Tetehosi I Kecamatan Gunungsitoli. Ditinjau dari karakteristik masalah maka dalam penelitian ini menggunakan jenis penelitian Deskriptif dengan pendekatan kualitatif. Dalam penelitian ini yang menjadi populasinya adalah seluruh masyarakat Desa Tetehosi I Kecamatan Gunungsitoli Idanoi Kota Gunungsitoli yang terdiri atas keluarga miskin dengan jumlah 313 kepala keluarga, dan yang menjadi sampel adalah bagian dari populasi dengan menggunakan teknik pengambilan sampel purposive sampling yang berarti sampel diambil dengan ketentuan peneliti karena adanya pertimbangan tertentu. Sementara data yang diperlukan adalah bersumber dari data primer dan data sekunder. Dari hasil penelitian bahwa fungsi pengawasan pendistribuasian Raskin di Desa Tetehosi I Kecamatan Gunungsitoli Idanoi telah dilakukan secara efektif dan sesuai dengan Pedoman Umum Raskin tahun 2016.","container-title":"Jesya (Jurnal Ekonomi dan Ekonomi Syariah)","DOI":"10.36778/jesya.v1i2.22","ISSN":"2599-3410","issue":"2","language":"en","license":"Copyright (c) 2018 Jesya (Jurnal Ekonomi &amp; Ekonomi Syariah)","note":"number: 2","page":"92-98","source":"stiealwashliyahsibolga.ac.id","title":"Efektivitas Fungsi Pengawasan Dalam Pendistribusian Raskin Di Desa Tetehosi I Kecamatan Gunungsitoli Idanoi","URL":"https://stiealwashliyahsibolga.ac.id/jurnal/index.php/jesya/article/view/22","volume":"1","author":[{"family":"Bate'e","given":"Maria Magdalena"},{"family":"Gea","given":"Nov Elhan"}],"accessed":{"date-parts":[["2023",10,25]]},"issued":{"date-parts":[["2018",6,9]]}}}],"schema":"https://github.com/citation-style-language/schema/raw/master/csl-citation.json"} </w:instrText>
      </w:r>
      <w:r w:rsidR="00565C3A">
        <w:fldChar w:fldCharType="separate"/>
      </w:r>
      <w:r w:rsidR="00565C3A" w:rsidRPr="00565C3A">
        <w:rPr>
          <w:rFonts w:cs="Times New Roman"/>
        </w:rPr>
        <w:t>(Bate'e &amp; Gea, 2018)</w:t>
      </w:r>
      <w:r w:rsidR="00565C3A">
        <w:fldChar w:fldCharType="end"/>
      </w:r>
      <w:r w:rsidR="0059538C">
        <w:t xml:space="preserve">. </w:t>
      </w:r>
      <w:r w:rsidRPr="007E7501">
        <w:t>It is intended that with proper oversight, the established policies may be put into action to bring about the desired results. In reality, supervision gives rise to a task that is intimately involved in establishing or assessing the degree to which work has been completed</w:t>
      </w:r>
      <w:r>
        <w:t xml:space="preserve"> </w:t>
      </w:r>
      <w:r w:rsidR="00565C3A">
        <w:fldChar w:fldCharType="begin"/>
      </w:r>
      <w:r w:rsidR="00565C3A">
        <w:instrText xml:space="preserve"> ADDIN ZOTERO_ITEM CSL_CITATION {"citationID":"b9bbYgvT","properties":{"formattedCitation":"(Djadjuli, 2018)","plainCitation":"(Djadjuli, 2018)","noteIndex":0},"citationItems":[{"id":5073,"uris":["http://zotero.org/users/10969092/items/KKNX2DZY"],"itemData":{"id":5073,"type":"article-journal","abstract":"AbstrakSeorang pimpinan tentunya sudah pasti akan memiliki bawahan atau ada sesuatu yang di bawahnya, Pimpinan memiliki pemahaman bahwa ia harus memimpin berdasarkan pengangkatan, dalam arti bahwa suka atau tidak suka bawahannya ia tetap menjadi orang yang memimpin suatu jabatan. Dengan demikian dapat ditarik kesimpulan bahwa pimpinan adalah jabatan atau posisi seseorang di dalam sebuah organisasi baik organisasi formal maupun organisai non formal yang telah diangkat dan ditetapkan berdasarkan Surat Keputusan. Pengawasan dalam manajemen ini penting dilakukan agar kesalahan kinerja atau hasil kerja bawahannya yang terjadi dapat segera diperbaiki. Ada 3 (tiga) langkah dalam melaksanakan hal tersebut, yaitu : 1) membuat standar, 2) membandingkan kegiatan standar, dan 3) tindakan perbaikan. pengawasan mempunyai hubungan yang erat sekali dengan perencanaan (planning), kebijaksanaan (policies), tujuan (objective), pengorganisasian (organizing), dan dengan pengawasan itu sendiri (control).  Begitu juga dengan prosedur, pelaksanaan, dan kegiatan-kegiatan lain harus diterapkan disamping metode dari pada pengawasan.Kinerja dapat diartikan  hasil kerja yang sesungguhnya dapat dicapai oleh seseorang baik kualitas maupun kuantitas. Agar pekerjaan sesuai dengan rencana yang telah ditetapkan organisasi, maka pengawasan oleh pimpinan perlu dilaksanakan mengingat kemungkinan dapat terjadi kesalahan dalam melaksanakan atau merealisasikan pekerjaan.Pelaksanaan dalam memimpin sangat penting sekali yang dapat dimainkan oleh seorang pemimpin terhadap pelaksanaan pengawasan dalam manajemen, yaitu : 1)        peranan hubungan antar pribadi, antara lain : sebagai figurehead, berperan sebagai pemimpin (leader), dan berperan sebagai pejabat perantara (Gaison Manager), 2) pelaksanaan dalam memimpin yang berhubungan dengan informasi (informational role), antara lain : sebagai monitor, sebagai desiminator informasi (penyampaian informasi dari luar ke dalam) dan sebagai Speakerman (juru bicara), 3)       pelaksanaan dalam hubungan dengan pembuatan keputusan (decisional role), antara lain: peranan sebagai entrepreneur, peranan sebagai penghalau, gangguan (disturbance handler), peranan sebagai pembagi sumber (resource alloceter) dan peranan sebagai negosiator.Kata Kunci : pelaksanaan, pimpinan, pengawasan, kinerja","container-title":"Dinamika : Jurnal Ilmiah Ilmu Administrasi Negara","DOI":"10.25157/dinamika.v4i4.879","ISSN":"2614-2945","issue":"4","language":"id","license":"##submission.copyrightStatement##","note":"number: 4","page":"565-573","source":"jurnal.unigal.ac.id","title":"PELAKSANAAN PENGAWASAN OLEH PIMPINAN DALAM MENINGKATKAN KINERJA PEGAWAI","URL":"https://jurnal.unigal.ac.id/dinamika/article/view/879","volume":"4","author":[{"family":"Djadjuli","given":"Didi"}],"accessed":{"date-parts":[["2023",10,25]]},"issued":{"date-parts":[["2018",1,24]]}}}],"schema":"https://github.com/citation-style-language/schema/raw/master/csl-citation.json"} </w:instrText>
      </w:r>
      <w:r w:rsidR="00565C3A">
        <w:fldChar w:fldCharType="separate"/>
      </w:r>
      <w:r w:rsidR="00565C3A">
        <w:rPr>
          <w:noProof/>
        </w:rPr>
        <w:t>(Djadjuli, 2018)</w:t>
      </w:r>
      <w:r w:rsidR="00565C3A">
        <w:fldChar w:fldCharType="end"/>
      </w:r>
      <w:r w:rsidR="0059538C">
        <w:t xml:space="preserve">. </w:t>
      </w:r>
      <w:r w:rsidRPr="007E7501">
        <w:t>In addition to revealing where and how much work has deviated from the plan, supervision may also reveal how well leadership policies are being put into practice</w:t>
      </w:r>
      <w:r>
        <w:t xml:space="preserve"> </w:t>
      </w:r>
      <w:r w:rsidR="00565C3A">
        <w:fldChar w:fldCharType="begin"/>
      </w:r>
      <w:r w:rsidR="00565C3A">
        <w:instrText xml:space="preserve"> ADDIN ZOTERO_ITEM CSL_CITATION {"citationID":"lWgloYOZ","properties":{"formattedCitation":"(Gafar et al., 2022)","plainCitation":"(Gafar et al., 2022)","noteIndex":0},"citationItems":[{"id":5075,"uris":["http://zotero.org/users/10969092/items/KDMHD89T"],"itemData":{"id":5075,"type":"article-journal","abstract":"Luasnya urusan penyelenggaraan pemerintahan daerah sangat berpotensi untuk terjadinya penyimpangan baik karena kesengajaan (by design) maupun karena ketidakmampuan (incompetency) pemerintah daerah. Sejalan dengan gambaran tersebut, maka perlu dilakukan pengawasan terhadap penyelenggaraan pemerintahan daerah baik pengawasan oleh lembaga pengawasan ekternal pemerintah maupun lembaga pengawasan internal pemerintah itu sendiri. Untuk melaksanakan pengawasan keuangan telah dibentuk jabatan fungsional yang khusus atau tertentu dalam melaksanakan audit yang dikenal dengan jabatan Auditor. Sedangkan pelaksanaan pengawasan internal terhadap penyelenggaraan pemerintahan daerah dibentuk pula Jabatan Fungsional Pengawas Penyelenggaraan Urusan&amp;nbsp; Pemerintahan Daerah (PPUPD). Oleh karena itu tulisan ini ingin membahas lebih lanjut terkait Pengawasan, Pengawasan Pemerintahan Daerah, serta Pengawas Penyelenggaraan Urusan Pemerintahan Daerah (PPUPD) dalam sistem pemerintahan di Indonesia","container-title":"Jurnal Pendidikan Dasar dan Sosial Humaniora","DOI":"10.53625/jpdsh.v1i3.1190","ISSN":"2808-9219","issue":"3","language":"en","license":"Copyright (c) 2022 Jurnal Pendidikan Dasar dan Sosial Humaniora","note":"number: 3","page":"539-552","source":"bajangjournal.com","title":"PENGAWAS PENYELENGGARAAN URUSAN PEMERINTAHAN DAERAH (PPUPD) DALAM PENYELENGGARAAN URUSAN PEMERINTAHAN DI INDONESIA","URL":"https://bajangjournal.com/index.php/JPDSH/article/view/1190","volume":"1","author":[{"family":"Gafar","given":"T. Fahrul"},{"family":"Octavia","given":"Santi"},{"family":"Zamhasari","given":""},{"family":"Suryaningsih","given":""},{"family":"Wijaya5","given":"Mendra"}],"accessed":{"date-parts":[["2023",10,25]]},"issued":{"date-parts":[["2022",1,26]]}}}],"schema":"https://github.com/citation-style-language/schema/raw/master/csl-citation.json"} </w:instrText>
      </w:r>
      <w:r w:rsidR="00565C3A">
        <w:fldChar w:fldCharType="separate"/>
      </w:r>
      <w:r w:rsidR="00565C3A">
        <w:rPr>
          <w:noProof/>
        </w:rPr>
        <w:t>(Gafar et al., 2022)</w:t>
      </w:r>
      <w:r w:rsidR="00565C3A">
        <w:fldChar w:fldCharType="end"/>
      </w:r>
      <w:r w:rsidR="0059538C">
        <w:t>.</w:t>
      </w:r>
    </w:p>
    <w:p w14:paraId="7E1FC6B4" w14:textId="28BFC61A" w:rsidR="002F3C45" w:rsidRDefault="007E7501" w:rsidP="002F3C45">
      <w:pPr>
        <w:pStyle w:val="BodyText"/>
        <w:spacing w:line="276" w:lineRule="auto"/>
        <w:ind w:left="560" w:right="117" w:firstLine="720"/>
      </w:pPr>
      <w:r w:rsidRPr="007E7501">
        <w:t>In the context of government law, supervision may be seen as any activity with the goal of ensuring that the governmental and administrative apparatus is acting within the bounds of the law. If we're talking about the Constitution, "supervision" refers to any action taken to make sure that government agencies are carrying out their responsibilities legally</w:t>
      </w:r>
      <w:r>
        <w:t xml:space="preserve"> </w:t>
      </w:r>
      <w:r w:rsidR="00565C3A">
        <w:fldChar w:fldCharType="begin"/>
      </w:r>
      <w:r w:rsidR="00565C3A">
        <w:instrText xml:space="preserve"> ADDIN ZOTERO_ITEM CSL_CITATION {"citationID":"OfS5iD5T","properties":{"formattedCitation":"(Mustika, 2018)","plainCitation":"(Mustika, 2018)","noteIndex":0},"citationItems":[{"id":5077,"uris":["http://zotero.org/users/10969092/items/W2BA3U3H"],"itemData":{"id":5077,"type":"article-journal","abstract":"Ombudsman Republik Indonesia merupakan lembaga negara yang mempunyai kewenangan mengawasi penyelenggaraan pelayanan publik baik yang diselenggarakan oleh penyelenggara negara dan pemerintahan termasuk yang diselenggarakan oleh Badan Usaha Milik Negara, Badan Usaha Milik Daerah, dan Badan Hukum Milik Negara serta badan swasta atau perseorangan yang diberi tugas menyelenggarakan pelayanan publik tertentu yang sebagian atau seluruh dananya bersumber dari anggaran pendapatan dan belanja negara dan/atau anggaran pendapatan dan belanja daerah. Ombudsman Republik Indonesia berfungsi mengawasi tugas penyelenggaraan negara untuk melindungi masyarakat berkenaan dengan pelayanan kepada masyarakat. Pengawasan Ombudsman terhadap penyelenggaraan pelayanan publik serta mekanisme pemeriksaan dan proses penyelesaian laporan di dalam ombudsman : (1) Undang-Undang RI No 37 Tahun 2008 Tentang Ombudsman Republik Indonesia dan (2) UU RI No 37 Tahun 2008 pasal 6 Ombudsman berfungsi mengawasi penyelenggaraan pelayanan publik yang diselenggarakan oleh Penyelenggara Negara dan pemerintahan baik di pusat maupun di daerah termasuk yang diselenggarakan oleh Badan Usaha Milik Negara, Badan Usaha Milik Daerah, dan Badan Hukum Milik Negara serta badan swasta atau perseorangan yang diberi tugas menyelenggarakan pelayanan publik tertentu.Kata Kunci : Ombudsman, Pelayanan Publik, Mall Administrasi, Undang-undang No. 37 Tahun 2008, Undang-undang No. 25 Tahun 2009.","container-title":"LEX ET SOCIETATIS","DOI":"10.35796/les.v6i3.19572","ISSN":"2337-9758","issue":"3","language":"en-US","license":"Copyright (c) 2018 Array","note":"number: 3","source":"ejournal.unsrat.ac.id","title":"PERAN OMBUDSMAN DALAM PENYELENGGARAAN NEGARA YANG BERSIH DAN PELAYANAN PUBLIK YANG BAIK (KAJIAN DI PROVINSI SULAWESI UTARA)","URL":"https://ejournal.unsrat.ac.id/v3/index.php/lexetsocietatis/article/view/19572","volume":"6","author":[{"family":"Mustika","given":"Firman"}],"accessed":{"date-parts":[["2023",10,25]]},"issued":{"date-parts":[["2018",5,16]]}}}],"schema":"https://github.com/citation-style-language/schema/raw/master/csl-citation.json"} </w:instrText>
      </w:r>
      <w:r w:rsidR="00565C3A">
        <w:fldChar w:fldCharType="separate"/>
      </w:r>
      <w:r w:rsidR="00565C3A">
        <w:rPr>
          <w:noProof/>
        </w:rPr>
        <w:t>(Mustika, 2018)</w:t>
      </w:r>
      <w:r w:rsidR="00565C3A">
        <w:fldChar w:fldCharType="end"/>
      </w:r>
      <w:r w:rsidR="0059538C">
        <w:t>.</w:t>
      </w:r>
    </w:p>
    <w:p w14:paraId="2416EB57" w14:textId="254E71E0" w:rsidR="002F3C45" w:rsidRDefault="007E7501" w:rsidP="002F3C45">
      <w:pPr>
        <w:pStyle w:val="BodyText"/>
        <w:spacing w:line="276" w:lineRule="auto"/>
        <w:ind w:left="560" w:right="117" w:firstLine="720"/>
      </w:pPr>
      <w:r w:rsidRPr="007E7501">
        <w:t>The nature of government oversight suggests that it is both preventative and restrictive</w:t>
      </w:r>
      <w:r>
        <w:t xml:space="preserve"> </w:t>
      </w:r>
      <w:r w:rsidR="007B097F">
        <w:fldChar w:fldCharType="begin"/>
      </w:r>
      <w:r w:rsidR="007B097F">
        <w:instrText xml:space="preserve"> ADDIN ZOTERO_ITEM CSL_CITATION {"citationID":"k8N5Ad8m","properties":{"formattedCitation":"(Jayanti, 2019)","plainCitation":"(Jayanti, 2019)","noteIndex":0},"citationItems":[{"id":5079,"uris":["http://zotero.org/users/10969092/items/IH4T4LSY"],"itemData":{"id":5079,"type":"article-journal","abstract":"Pengawasan adalah kegiatan untuk menilai suatu pelaksanaan tugas secara de facto, sehingga dalam kegiatan pengawasan tidak terkandung kegiatan yang bersifat korektif ataupun pengarahan. Sedangkan tujuan pengawasan adalah agar tercipta aparatur pemerintah yang bersih dan berwibawa yang didukung oleh suatu sistem manajemen pemerintah yang berdaya guna dan berhasil guna serta ditunjang oleh partisipasi masyarakat (control sosial) yang obyektif, sehat dan bertanggung jawab. Pengawasan dapat dilihat dari jenisnya yaitu: segi sifat pengawasan, segi objek pengawasan, dan segi pelaku pengawasan itu sendiri terhadap produk hukum dalam konstruksi politik hukum dimana dalam hal ini adalah pengawasan terhadap produk hukum, baik itu berupa peraturan perundang-undangan (regelling) maupun keputusan (beschikking), maka mekanismenya dilakukan melalui kekuasaan kehakiman. Dalam konstruksi politik hukum, maka pengawasan dilakukan terhadap produk hukum yang telah dibuat oleh aparat berwenang, sehingga disini yang terjadi adalah pengawasan represif, yaitu pengawasan yang dilakukan sesudah  dikeluarkannya keputusan/ketetapan pemerintah.","container-title":"Jurnal Ilmu Hukum Tambun Bungai","DOI":"10.61394/jihtb.v4i2.84","ISSN":"2685-9386","issue":"2","language":"en","license":"Copyright (c) 2019","note":"number: 2","source":"journal.stihtb.ac.id","title":"MEKANISME PENGAWASAN TERHADAP PRODUK HUKUM DALAM KONSTRUKSI POLITIK HUKUM","URL":"https://journal.stihtb.ac.id/index.php/jihtb/article/view/84","volume":"4","author":[{"family":"Jayanti","given":"Nina"}],"accessed":{"date-parts":[["2023",10,25]]},"issued":{"date-parts":[["2019",9,1]]}}}],"schema":"https://github.com/citation-style-language/schema/raw/master/csl-citation.json"} </w:instrText>
      </w:r>
      <w:r w:rsidR="007B097F">
        <w:fldChar w:fldCharType="separate"/>
      </w:r>
      <w:r w:rsidR="007B097F">
        <w:rPr>
          <w:noProof/>
        </w:rPr>
        <w:t>(Jayanti, 2019)</w:t>
      </w:r>
      <w:r w:rsidR="007B097F">
        <w:fldChar w:fldCharType="end"/>
      </w:r>
      <w:r w:rsidR="0059538C">
        <w:t xml:space="preserve">. </w:t>
      </w:r>
      <w:r w:rsidRPr="007E7501">
        <w:t>It is the goal of preventive surveillance to ensure that no illegal behavior or attitude is taken by the government. Meanwhile, repressive supervision is a kind of monitoring that is used to counteract illegal government activity. This oppressive monitoring is, essentially, an act of law enforcement</w:t>
      </w:r>
      <w:r>
        <w:t xml:space="preserve"> </w:t>
      </w:r>
      <w:r w:rsidR="007B097F">
        <w:fldChar w:fldCharType="begin"/>
      </w:r>
      <w:r w:rsidR="007B097F">
        <w:instrText xml:space="preserve"> ADDIN ZOTERO_ITEM CSL_CITATION {"citationID":"Sa4XIwPv","properties":{"formattedCitation":"(Asmara, 2005)","plainCitation":"(Asmara, 2005)","noteIndex":0},"citationItems":[{"id":5081,"uris":["http://zotero.org/users/10969092/items/46PUYQQZ"],"itemData":{"id":5081,"type":"book","event-place":"Yogyakarta","note":"publisher: Laks Bang","publisher":"Laksbang","publisher-place":"Yogyakarta","title":"Ombudsman Nasional; Dalam Sistem Pemerintahan Negara Republik Indonesia","author":[{"family":"Asmara","given":"Galang"}],"issued":{"date-parts":[["2005"]]}}}],"schema":"https://github.com/citation-style-language/schema/raw/master/csl-citation.json"} </w:instrText>
      </w:r>
      <w:r w:rsidR="007B097F">
        <w:fldChar w:fldCharType="separate"/>
      </w:r>
      <w:r w:rsidR="007B097F">
        <w:rPr>
          <w:noProof/>
        </w:rPr>
        <w:t>(Asmara, 2005)</w:t>
      </w:r>
      <w:r w:rsidR="007B097F">
        <w:fldChar w:fldCharType="end"/>
      </w:r>
      <w:r w:rsidR="002964C9">
        <w:t>.</w:t>
      </w:r>
    </w:p>
    <w:p w14:paraId="65E2269F" w14:textId="77777777" w:rsidR="007E7501" w:rsidRDefault="007E7501" w:rsidP="002F3C45">
      <w:pPr>
        <w:pStyle w:val="BodyText"/>
        <w:spacing w:line="276" w:lineRule="auto"/>
        <w:ind w:left="560" w:right="117" w:firstLine="720"/>
      </w:pPr>
      <w:r w:rsidRPr="007E7501">
        <w:t>A person who works on behalf of others is called an ombudsman, a term derived from Old Swedish. Originally established in 1809 as a constitutionally protected entity in Sweden. Courts and government agencies are under its purview, followed by the armed forces. Supervision is carried out by inspecting and investigating facilities and operations based on public reports or on their own initiative. The Swedish Ombudsman has broad powers, including the ability to examine civil and military trial records and minutes, initiate legal action against erring public officials, declare that an existing rule is ineffective, and suggest changes to that legislation. When asked for help, all members of the government, police, and armed forces must supply it.</w:t>
      </w:r>
    </w:p>
    <w:p w14:paraId="60F7299F" w14:textId="11D9A6D6" w:rsidR="002F3C45" w:rsidRDefault="007E7501" w:rsidP="002F3C45">
      <w:pPr>
        <w:pStyle w:val="BodyText"/>
        <w:spacing w:line="276" w:lineRule="auto"/>
        <w:ind w:left="560" w:right="117" w:firstLine="720"/>
      </w:pPr>
      <w:r w:rsidRPr="007E7501">
        <w:t>Participation is a crucial condition of the Ombudsman supervisory system and the current paradigm. The Indonesian Ombudsman's mandate includes encouraging citizen participation in the pursuit of good governance by fostering an environment wherein a transparent and accountable government, high-quality public services, and an impartial and effective judicial system are all more likely to materialize. No favoritism will be shown</w:t>
      </w:r>
      <w:r>
        <w:t xml:space="preserve"> </w:t>
      </w:r>
      <w:r w:rsidR="007B097F">
        <w:fldChar w:fldCharType="begin"/>
      </w:r>
      <w:r w:rsidR="007B097F">
        <w:instrText xml:space="preserve"> ADDIN ZOTERO_ITEM CSL_CITATION {"citationID":"HKXeYwtU","properties":{"formattedCitation":"(Sujata &amp; Surachman, 2002)","plainCitation":"(Sujata &amp; Surachman, 2002)","noteIndex":0},"citationItems":[{"id":5082,"uris":["http://zotero.org/users/10969092/items/LQ879N8I"],"itemData":{"id":5082,"type":"book","event-place":"Jakarta","publisher":"No Title","publisher-place":"Jakarta","source":"Google Scholar","title":"Ombudsman Indonesia di tengah ombudsman internasional: sebuah antologi","title-short":"Ombudsman Indonesia di tengah ombudsman internasional","URL":"https://cir.nii.ac.jp/crid/1130282272617030272","author":[{"family":"Sujata","given":"Antonius"},{"family":"Surachman","given":"R. M."}],"accessed":{"date-parts":[["2023",10,25]]},"issued":{"date-parts":[["2002"]]}}}],"schema":"https://github.com/citation-style-language/schema/raw/master/csl-citation.json"} </w:instrText>
      </w:r>
      <w:r w:rsidR="007B097F">
        <w:fldChar w:fldCharType="separate"/>
      </w:r>
      <w:r w:rsidR="007B097F">
        <w:rPr>
          <w:noProof/>
        </w:rPr>
        <w:t>(Sujata &amp; Surachman, 2002)</w:t>
      </w:r>
      <w:r w:rsidR="007B097F">
        <w:fldChar w:fldCharType="end"/>
      </w:r>
      <w:r w:rsidR="0059538C">
        <w:t xml:space="preserve">. </w:t>
      </w:r>
      <w:r w:rsidRPr="007E7501">
        <w:t>Every step of the process of making and enforcing laws is subject to public scrutiny and openness, allowing for direct community participation (direct participation) to make up for any gaps or failures in official institutional mechanisms</w:t>
      </w:r>
      <w:r>
        <w:t xml:space="preserve"> </w:t>
      </w:r>
      <w:r w:rsidR="007B097F">
        <w:fldChar w:fldCharType="begin"/>
      </w:r>
      <w:r w:rsidR="007B097F">
        <w:instrText xml:space="preserve"> ADDIN ZOTERO_ITEM CSL_CITATION {"citationID":"5c9lA4ne","properties":{"formattedCitation":"(Asshiddiqie, 2011)","plainCitation":"(Asshiddiqie, 2011)","noteIndex":0},"citationItems":[{"id":5084,"uris":["http://zotero.org/users/10969092/items/VDCWJ2JJ"],"itemData":{"id":5084,"type":"paper-conference","container-title":"Forum Dialog Perencanaan Pembangunan Hukum Nasional","event-place":"Jakarta","event-title":"Forum Dialog Perencanaan Pembangunan Hukum Nasional","language":"id","publisher":"Badan Pembinaan Hukum Nasional Kementerian Hukum dan HAM","publisher-place":"Jakarta","title":"GAGASAN NEGARA HUKUM INDONESIA","author":[{"family":"Asshiddiqie","given":"Dr Jimly"}],"issued":{"date-parts":[["2011"]]}}}],"schema":"https://github.com/citation-style-language/schema/raw/master/csl-citation.json"} </w:instrText>
      </w:r>
      <w:r w:rsidR="007B097F">
        <w:fldChar w:fldCharType="separate"/>
      </w:r>
      <w:r w:rsidR="007B097F">
        <w:rPr>
          <w:noProof/>
        </w:rPr>
        <w:t>(Asshiddiqie, 2011)</w:t>
      </w:r>
      <w:r w:rsidR="007B097F">
        <w:fldChar w:fldCharType="end"/>
      </w:r>
      <w:r w:rsidR="0059538C">
        <w:t>.</w:t>
      </w:r>
    </w:p>
    <w:p w14:paraId="115B58DD" w14:textId="7B384A5C" w:rsidR="007E7501" w:rsidRDefault="007E7501" w:rsidP="007E7501">
      <w:pPr>
        <w:pStyle w:val="BodyText"/>
        <w:spacing w:line="276" w:lineRule="auto"/>
        <w:ind w:left="560" w:right="117" w:firstLine="720"/>
      </w:pPr>
      <w:r w:rsidRPr="007E7501">
        <w:t xml:space="preserve">Ombudsman oversight is symbolic of community or civil society group oversight </w:t>
      </w:r>
      <w:r w:rsidR="009F35CD" w:rsidRPr="007E7501">
        <w:fldChar w:fldCharType="begin"/>
      </w:r>
      <w:r w:rsidR="009F35CD" w:rsidRPr="007E7501">
        <w:instrText xml:space="preserve"> ADDIN ZOTERO_ITEM CSL_CITATION {"citationID":"2VuSwsOy","properties":{"formattedCitation":"(Abbas &amp; Lodan, 2020)","plainCitation":"(Abbas &amp; Lodan, 2020)","noteIndex":0},"citationItems":[{"id":5086,"uris":["http://zotero.org/users/10969092/items/UWG2WNT4"],"itemData":{"id":5086,"type":"article-journal","abstract":"Public Service which regulates the principles of good governance which is the effectiveness of government functions itself. The forms of maladministration that we often encounter are abuse of authority, prolonged delays, neglect of legal obligations, procedural irregularities, nontransparency, negligence, discrimination, extortion, unprofessionalism, unclear information, arbitrary acts, legal uncertainty, and mismanagement. Ombudsman supervision is a representation of the supervision carried out by the community or civil society groups. The way the Ombudsman works is also similar to the way civil society works, free of charge, and various other conveniences. In addition to being largely determined by the political will of state administrators and political support in parliament, the effectiveness of the work of the Ombudsman is also largely determined by how far the community has an understanding of the Ombudsman.","container-title":"Dialektika Publik","DOI":"10.33884/dialektikapublik.v5i1.2414","ISSN":"2621-2218","issue":"1","language":"en","license":"Copyright (c) 2020 Dialektika Publik : Jurnal Administrasi Negara Universitas Putera Batam","note":"number: 1","page":"17-23","source":"ejournal.upbatam.ac.id","title":"Peran Pengawasan Ombudsman Dalam Penyelenggaraan Pelayanan Publik","URL":"https://ejournal.upbatam.ac.id/index.php/dialektikapublik/article/view/2414","volume":"5","author":[{"family":"Abbas","given":"Azhar"},{"family":"Lodan","given":"Karol Teovani"}],"accessed":{"date-parts":[["2023",10,25]]},"issued":{"date-parts":[["2020",8,24]]}}}],"schema":"https://github.com/citation-style-language/schema/raw/master/csl-citation.json"} </w:instrText>
      </w:r>
      <w:r w:rsidR="009F35CD" w:rsidRPr="007E7501">
        <w:fldChar w:fldCharType="separate"/>
      </w:r>
      <w:r w:rsidR="009F35CD" w:rsidRPr="007E7501">
        <w:rPr>
          <w:noProof/>
        </w:rPr>
        <w:t>(Abbas &amp; Lodan, 2020)</w:t>
      </w:r>
      <w:r w:rsidR="009F35CD" w:rsidRPr="007E7501">
        <w:fldChar w:fldCharType="end"/>
      </w:r>
      <w:r w:rsidR="0059538C" w:rsidRPr="007E7501">
        <w:t>.</w:t>
      </w:r>
      <w:r w:rsidRPr="007E7501">
        <w:t xml:space="preserve"> Like in civil society, the Ombudsman's services are provided without charge and with additional perks. The success of the Ombudsman's efforts depends not only on the</w:t>
      </w:r>
      <w:r>
        <w:t xml:space="preserve"> political will of state administrators and political support in parliament, but also on the degree to which the public understands the role of the Ombudsman. Knowing it's important to speak out against wrongdoing and having the guts to disclose misconduct by public servants at the state level.</w:t>
      </w:r>
    </w:p>
    <w:p w14:paraId="786CDE23" w14:textId="77777777" w:rsidR="007E7501" w:rsidRDefault="007E7501" w:rsidP="007E7501">
      <w:pPr>
        <w:pStyle w:val="BodyText"/>
        <w:spacing w:line="276" w:lineRule="auto"/>
        <w:ind w:left="560" w:right="117" w:firstLine="720"/>
      </w:pPr>
      <w:r>
        <w:t>As a result, the Ombudsman's approach to supervision is grounded on the concept of community supervision. Thus, since the Indonesian Transparency Society defines public transparency as openness that necessitates public engagement, the Ombudsman has positioned participation as a very significant issue and is the cornerstone in its supervisory job from the very beginning of its development.</w:t>
      </w:r>
    </w:p>
    <w:p w14:paraId="448DE56A" w14:textId="0392EC57" w:rsidR="0059538C" w:rsidRDefault="007E7501" w:rsidP="007E7501">
      <w:pPr>
        <w:pStyle w:val="BodyText"/>
        <w:spacing w:line="276" w:lineRule="auto"/>
        <w:ind w:left="560" w:right="117" w:firstLine="720"/>
      </w:pPr>
      <w:r w:rsidRPr="007E7501">
        <w:t>How public reports are received, followed by administrative research, resume compilation, clarification request drafting, and finally the issue of Ombudsman recommendations are all part of the Ombudsman's procedure</w:t>
      </w:r>
      <w:r>
        <w:t xml:space="preserve"> </w:t>
      </w:r>
      <w:r w:rsidR="007B097F">
        <w:fldChar w:fldCharType="begin"/>
      </w:r>
      <w:r w:rsidR="007B097F">
        <w:instrText xml:space="preserve"> ADDIN ZOTERO_ITEM CSL_CITATION {"citationID":"bmr6BJU7","properties":{"formattedCitation":"(Budhi, 2005)","plainCitation":"(Budhi, 2005)","noteIndex":0},"citationItems":[{"id":5085,"uris":["http://zotero.org/users/10969092/items/WLLTWCB6"],"itemData":{"id":5085,"type":"book","event-place":"Jakarta","publisher":"PT. Pradnya Paramita","publisher-place":"Jakarta","title":"Mengenal Ombudsman Republik Indonesia Indonesia","author":[{"family":"Budhi","given":"Masthuri"}],"issued":{"date-parts":[["2005"]]}}}],"schema":"https://github.com/citation-style-language/schema/raw/master/csl-citation.json"} </w:instrText>
      </w:r>
      <w:r w:rsidR="007B097F">
        <w:fldChar w:fldCharType="separate"/>
      </w:r>
      <w:r w:rsidR="007B097F">
        <w:rPr>
          <w:noProof/>
        </w:rPr>
        <w:t>(Budhi, 2005)</w:t>
      </w:r>
      <w:r w:rsidR="007B097F">
        <w:fldChar w:fldCharType="end"/>
      </w:r>
      <w:r w:rsidR="0059538C">
        <w:t>.</w:t>
      </w:r>
    </w:p>
    <w:p w14:paraId="3D0D3325" w14:textId="4B6F49AC" w:rsidR="007E7501" w:rsidRPr="007E7501" w:rsidRDefault="007E7501" w:rsidP="007E7501">
      <w:pPr>
        <w:pStyle w:val="ListParagraph"/>
        <w:numPr>
          <w:ilvl w:val="0"/>
          <w:numId w:val="13"/>
        </w:numPr>
        <w:tabs>
          <w:tab w:val="left" w:pos="1015"/>
          <w:tab w:val="left" w:pos="1016"/>
        </w:tabs>
        <w:autoSpaceDE w:val="0"/>
        <w:autoSpaceDN w:val="0"/>
        <w:spacing w:line="276" w:lineRule="auto"/>
        <w:ind w:left="863"/>
        <w:rPr>
          <w:sz w:val="24"/>
        </w:rPr>
      </w:pPr>
      <w:r w:rsidRPr="007E7501">
        <w:rPr>
          <w:sz w:val="24"/>
        </w:rPr>
        <w:t>Provide further information to the Ombudsman</w:t>
      </w:r>
    </w:p>
    <w:p w14:paraId="3E6FEC95" w14:textId="77777777" w:rsidR="007E7501" w:rsidRPr="007E7501" w:rsidRDefault="007E7501" w:rsidP="007E7501">
      <w:pPr>
        <w:pStyle w:val="ListParagraph"/>
        <w:tabs>
          <w:tab w:val="left" w:pos="1015"/>
          <w:tab w:val="left" w:pos="1016"/>
        </w:tabs>
        <w:autoSpaceDE w:val="0"/>
        <w:autoSpaceDN w:val="0"/>
        <w:spacing w:line="276" w:lineRule="auto"/>
        <w:ind w:left="863" w:firstLine="0"/>
        <w:rPr>
          <w:sz w:val="24"/>
        </w:rPr>
      </w:pPr>
      <w:r w:rsidRPr="007E7501">
        <w:rPr>
          <w:sz w:val="24"/>
        </w:rPr>
        <w:t>The Ombudsman has the authority to ask government officials for an explanation when there has been a complaint filed. In most cases, the Ombudsman may follow up on a report with a desk-based document review (henceforth referred to as a "behind-the-desk investigation"). Clarification requests are an integral component of any inquiry that takes place behind the scenes.</w:t>
      </w:r>
    </w:p>
    <w:p w14:paraId="66D3D74F" w14:textId="77777777" w:rsidR="007E7501" w:rsidRPr="007E7501" w:rsidRDefault="007E7501" w:rsidP="007E7501">
      <w:pPr>
        <w:pStyle w:val="ListParagraph"/>
        <w:tabs>
          <w:tab w:val="left" w:pos="1015"/>
          <w:tab w:val="left" w:pos="1016"/>
        </w:tabs>
        <w:autoSpaceDE w:val="0"/>
        <w:autoSpaceDN w:val="0"/>
        <w:spacing w:line="276" w:lineRule="auto"/>
        <w:ind w:left="863" w:firstLine="0"/>
        <w:rPr>
          <w:sz w:val="24"/>
        </w:rPr>
      </w:pPr>
      <w:r w:rsidRPr="007E7501">
        <w:rPr>
          <w:sz w:val="24"/>
        </w:rPr>
        <w:t>After analyzing the supporting paperwork and receiving written explanation (clarification) from the public authority, a seemingly straightforward report may turn out to be more complicated than first thought. The Ombudsman will often promptly conduct a cross check in the field to verify the veracity of the official's (reported) answer in such cases. The Ombudsman included an interview phase into field cross checks to elicit more information and answer any questions that may have arisen. This kind of explanation request differs somewhat from the formal letter variety due to the more proactive character of the former.</w:t>
      </w:r>
    </w:p>
    <w:p w14:paraId="67F7E0F7" w14:textId="77777777" w:rsidR="007E7501" w:rsidRPr="007E7501" w:rsidRDefault="007E7501" w:rsidP="007E7501">
      <w:pPr>
        <w:pStyle w:val="ListParagraph"/>
        <w:tabs>
          <w:tab w:val="left" w:pos="1015"/>
          <w:tab w:val="left" w:pos="1016"/>
        </w:tabs>
        <w:autoSpaceDE w:val="0"/>
        <w:autoSpaceDN w:val="0"/>
        <w:spacing w:line="276" w:lineRule="auto"/>
        <w:ind w:left="863" w:firstLine="0"/>
        <w:rPr>
          <w:sz w:val="24"/>
        </w:rPr>
      </w:pPr>
      <w:r w:rsidRPr="007E7501">
        <w:rPr>
          <w:sz w:val="24"/>
        </w:rPr>
        <w:t>Sometimes, after reviewing the field data, the Ombudsman concludes that further information is required from the responsible government agencies. When presented with such situations, the Ombudsman's standard response is to draft a letter asking clarification as soon as possible in order to address any remaining questions or concerns. There are often two causes of such fuzziness. The first is an effort to hide the issue. The second reason is because there is insufficient evidence. Such requests for clarification are necessary before the Ombudsman can provide a final decision in order to corroborate and enhance the results of the study of discoveries in the field. Recommendations to the appropriate government authorities will be based on this conclusive conclusion.</w:t>
      </w:r>
    </w:p>
    <w:p w14:paraId="453415ED" w14:textId="77777777" w:rsidR="007E7501" w:rsidRDefault="0059538C" w:rsidP="007E7501">
      <w:pPr>
        <w:pStyle w:val="ListParagraph"/>
        <w:numPr>
          <w:ilvl w:val="0"/>
          <w:numId w:val="13"/>
        </w:numPr>
        <w:tabs>
          <w:tab w:val="left" w:pos="1015"/>
          <w:tab w:val="left" w:pos="1016"/>
        </w:tabs>
        <w:autoSpaceDE w:val="0"/>
        <w:autoSpaceDN w:val="0"/>
        <w:spacing w:line="276" w:lineRule="auto"/>
        <w:ind w:left="862"/>
        <w:rPr>
          <w:sz w:val="24"/>
          <w:szCs w:val="24"/>
        </w:rPr>
      </w:pPr>
      <w:r w:rsidRPr="002F3C45">
        <w:rPr>
          <w:sz w:val="24"/>
          <w:szCs w:val="24"/>
        </w:rPr>
        <w:t>Drafting a Request for Clarification</w:t>
      </w:r>
    </w:p>
    <w:p w14:paraId="56956F69" w14:textId="77777777" w:rsidR="007E7501" w:rsidRDefault="007E7501" w:rsidP="007E7501">
      <w:pPr>
        <w:pStyle w:val="ListParagraph"/>
        <w:tabs>
          <w:tab w:val="left" w:pos="1015"/>
          <w:tab w:val="left" w:pos="1016"/>
        </w:tabs>
        <w:autoSpaceDE w:val="0"/>
        <w:autoSpaceDN w:val="0"/>
        <w:spacing w:line="276" w:lineRule="auto"/>
        <w:ind w:left="862" w:firstLine="0"/>
        <w:rPr>
          <w:sz w:val="24"/>
          <w:szCs w:val="24"/>
        </w:rPr>
      </w:pPr>
      <w:r w:rsidRPr="007E7501">
        <w:rPr>
          <w:sz w:val="24"/>
          <w:szCs w:val="24"/>
        </w:rPr>
        <w:t>The Ombudsman sees requests for clarification as an opportunity to clarify the issue in a report. That everyone involved, including the reported individual, can quickly grasp the core issue that prompted the complaint. To put it simply, attempts to conduct in-depth, thorough, and impartial analysis need explanations or clarifications from public authorities. This is an example of adhering to the Ombudsman's universal principle of impartiality. Since the Ombudsman listened to answers from both sides, it is clear that he treated the public official as a responder equitably by providing them the first chance to explain.</w:t>
      </w:r>
    </w:p>
    <w:p w14:paraId="4522CB98" w14:textId="21806AFF" w:rsidR="007E7501" w:rsidRPr="007E7501" w:rsidRDefault="007E7501" w:rsidP="007E7501">
      <w:pPr>
        <w:pStyle w:val="ListParagraph"/>
        <w:tabs>
          <w:tab w:val="left" w:pos="1015"/>
          <w:tab w:val="left" w:pos="1016"/>
        </w:tabs>
        <w:autoSpaceDE w:val="0"/>
        <w:autoSpaceDN w:val="0"/>
        <w:spacing w:line="276" w:lineRule="auto"/>
        <w:ind w:left="862" w:firstLine="0"/>
        <w:rPr>
          <w:sz w:val="24"/>
          <w:szCs w:val="24"/>
        </w:rPr>
      </w:pPr>
      <w:r w:rsidRPr="007E7501">
        <w:rPr>
          <w:sz w:val="24"/>
          <w:szCs w:val="24"/>
        </w:rPr>
        <w:t>The Ombudsman makes sure the issue has been presented in order, concisely, and clearly before asking for further information. In addition, it is possible to precisely identify the content for which clarification is needed in order to forestall misunderstandings. If the reported issue is a delay in service, for instance, it's important to ask clarifying questions regarding the method, the cause of the delay, and the reporting party's attempts to address the issue.</w:t>
      </w:r>
    </w:p>
    <w:p w14:paraId="1AE1E9D7" w14:textId="77777777" w:rsidR="007E7501" w:rsidRDefault="0059538C" w:rsidP="007E7501">
      <w:pPr>
        <w:pStyle w:val="ListParagraph"/>
        <w:numPr>
          <w:ilvl w:val="0"/>
          <w:numId w:val="13"/>
        </w:numPr>
        <w:tabs>
          <w:tab w:val="left" w:pos="1015"/>
          <w:tab w:val="left" w:pos="1016"/>
        </w:tabs>
        <w:autoSpaceDE w:val="0"/>
        <w:autoSpaceDN w:val="0"/>
        <w:spacing w:line="276" w:lineRule="auto"/>
        <w:ind w:left="862"/>
        <w:rPr>
          <w:sz w:val="24"/>
        </w:rPr>
      </w:pPr>
      <w:r>
        <w:rPr>
          <w:sz w:val="24"/>
        </w:rPr>
        <w:t>Request for Clarification and Recommendation</w:t>
      </w:r>
    </w:p>
    <w:p w14:paraId="6E176FF1" w14:textId="77777777" w:rsidR="007E7501" w:rsidRDefault="007E7501" w:rsidP="007E7501">
      <w:pPr>
        <w:pStyle w:val="ListParagraph"/>
        <w:tabs>
          <w:tab w:val="left" w:pos="1015"/>
          <w:tab w:val="left" w:pos="1016"/>
        </w:tabs>
        <w:autoSpaceDE w:val="0"/>
        <w:autoSpaceDN w:val="0"/>
        <w:spacing w:line="276" w:lineRule="auto"/>
        <w:ind w:left="862" w:firstLine="0"/>
        <w:rPr>
          <w:sz w:val="24"/>
          <w:szCs w:val="24"/>
        </w:rPr>
      </w:pPr>
      <w:r w:rsidRPr="007E7501">
        <w:rPr>
          <w:sz w:val="24"/>
          <w:szCs w:val="24"/>
        </w:rPr>
        <w:t>The Ombudsman will provide a recommendation as their final product. However, seeking confirmation before beginning work on a suggestion is crucial. Effectiveness and efficiency are also often taken into account by the Ombudsman when following up on public reports. The duration of the bureaucratic process at the agency</w:t>
      </w:r>
    </w:p>
    <w:p w14:paraId="2036F182" w14:textId="77777777" w:rsidR="007E7501" w:rsidRDefault="007E7501" w:rsidP="007E7501">
      <w:pPr>
        <w:pStyle w:val="ListParagraph"/>
        <w:tabs>
          <w:tab w:val="left" w:pos="1015"/>
          <w:tab w:val="left" w:pos="1016"/>
        </w:tabs>
        <w:autoSpaceDE w:val="0"/>
        <w:autoSpaceDN w:val="0"/>
        <w:spacing w:line="276" w:lineRule="auto"/>
        <w:ind w:left="862" w:firstLine="0"/>
        <w:rPr>
          <w:sz w:val="24"/>
          <w:szCs w:val="24"/>
        </w:rPr>
      </w:pPr>
      <w:r w:rsidRPr="007E7501">
        <w:rPr>
          <w:sz w:val="24"/>
          <w:szCs w:val="24"/>
        </w:rPr>
        <w:t>The Indonesian government and state institutions need the Ombudsman to regularly update and improve its processes for responding to citizen complaints. Letters from the Ombudsman often have to travel through numerous bureaucratic administrative offices in government or state organizations before a response is issued. It will take quite some time to get back from the appropriate government authority with an explanation or clarification on this matter. Because of the disorganization in the current administrative system, or even worse, because some people deliberately destroy Ombudsman letters for ulterior motives, it is possible that letters requesting clarification may never reach the authorized officials. On the other hand, the reporter may be eager for a speedy solution to the issue. The projected resolution time may increase if the Ombudsman follows the standard procedure of first requesting for clarification, then conducting further studies, investigations, and recommendations. But there are pressing reasons why this issue must be fixed right now. In such a situation, the Ombudsman achieved a breakthrough and amended the letter's preparation by delivering a temporary opinion and then conditional recommendations all at once.</w:t>
      </w:r>
    </w:p>
    <w:p w14:paraId="60F14E3C" w14:textId="303945C9" w:rsidR="007E7501" w:rsidRPr="007E7501" w:rsidRDefault="007E7501" w:rsidP="007E7501">
      <w:pPr>
        <w:pStyle w:val="ListParagraph"/>
        <w:tabs>
          <w:tab w:val="left" w:pos="1015"/>
          <w:tab w:val="left" w:pos="1016"/>
        </w:tabs>
        <w:autoSpaceDE w:val="0"/>
        <w:autoSpaceDN w:val="0"/>
        <w:spacing w:line="276" w:lineRule="auto"/>
        <w:ind w:left="862" w:firstLine="0"/>
        <w:rPr>
          <w:sz w:val="24"/>
        </w:rPr>
      </w:pPr>
      <w:r w:rsidRPr="007E7501">
        <w:rPr>
          <w:sz w:val="24"/>
          <w:szCs w:val="24"/>
        </w:rPr>
        <w:t>This letter serves as a suggestion to the appropriate public authorities and should be taken into consideration. However, not all issues may be pursued in this manner; in particular, the filed report must be clear, objective, and chronological; in addition, the attached papers must be authentic and accountable. Meanwhile, the reporter's health necessitates a proper answer to the issue at hand.</w:t>
      </w:r>
    </w:p>
    <w:p w14:paraId="2F1E5AD1" w14:textId="77777777" w:rsidR="007E7501" w:rsidRPr="007E7501" w:rsidRDefault="0059538C" w:rsidP="007E7501">
      <w:pPr>
        <w:pStyle w:val="ListParagraph"/>
        <w:numPr>
          <w:ilvl w:val="0"/>
          <w:numId w:val="13"/>
        </w:numPr>
        <w:tabs>
          <w:tab w:val="left" w:pos="1015"/>
          <w:tab w:val="left" w:pos="1016"/>
        </w:tabs>
        <w:autoSpaceDE w:val="0"/>
        <w:autoSpaceDN w:val="0"/>
        <w:spacing w:line="276" w:lineRule="auto"/>
        <w:ind w:left="862"/>
        <w:rPr>
          <w:sz w:val="24"/>
          <w:szCs w:val="24"/>
        </w:rPr>
      </w:pPr>
      <w:r w:rsidRPr="007E7501">
        <w:rPr>
          <w:sz w:val="24"/>
          <w:szCs w:val="24"/>
        </w:rPr>
        <w:t>Ombudsman Investigation Stages</w:t>
      </w:r>
    </w:p>
    <w:p w14:paraId="1AD02A3D" w14:textId="77777777" w:rsidR="007E7501" w:rsidRPr="007E7501" w:rsidRDefault="007E7501" w:rsidP="007E7501">
      <w:pPr>
        <w:pStyle w:val="ListParagraph"/>
        <w:tabs>
          <w:tab w:val="left" w:pos="1015"/>
          <w:tab w:val="left" w:pos="1016"/>
        </w:tabs>
        <w:autoSpaceDE w:val="0"/>
        <w:autoSpaceDN w:val="0"/>
        <w:spacing w:line="276" w:lineRule="auto"/>
        <w:ind w:left="862" w:firstLine="0"/>
        <w:rPr>
          <w:sz w:val="24"/>
          <w:szCs w:val="24"/>
        </w:rPr>
      </w:pPr>
      <w:r w:rsidRPr="007E7501">
        <w:rPr>
          <w:sz w:val="24"/>
          <w:szCs w:val="24"/>
        </w:rPr>
        <w:t>Following up on incidents of suspected maladministration, whether submitted by the public or on their own initiative, the Ombudsman conducts investigations as a last, crucial step in the process. In order to determine what steps to take next—whether to seek clarification or to provide quick recommendations—investigations are conducted to seek and gather more comprehensive, crisp, balanced, and impartial information. The Ombudsman's two-stage process is followed here. The first step is a covert probe, during which the reporter's judgments, communications, and other provided papers are scrutinized for accuracy. The examination's findings will dictate what comes next. If the filed report is sufficiently chronological, objective, and supported by genuine and accountable documentation, the Ombudsman will often ask for clarification right away so that the appropriate public authorities may explain the underlying situation.</w:t>
      </w:r>
    </w:p>
    <w:p w14:paraId="7B4E6A45" w14:textId="77777777" w:rsidR="007E7501" w:rsidRPr="007E7501" w:rsidRDefault="007E7501" w:rsidP="007E7501">
      <w:pPr>
        <w:pStyle w:val="ListParagraph"/>
        <w:tabs>
          <w:tab w:val="left" w:pos="1015"/>
          <w:tab w:val="left" w:pos="1016"/>
        </w:tabs>
        <w:autoSpaceDE w:val="0"/>
        <w:autoSpaceDN w:val="0"/>
        <w:spacing w:line="276" w:lineRule="auto"/>
        <w:ind w:left="862" w:firstLine="0"/>
        <w:rPr>
          <w:sz w:val="24"/>
          <w:szCs w:val="24"/>
        </w:rPr>
      </w:pPr>
      <w:r w:rsidRPr="007E7501">
        <w:rPr>
          <w:sz w:val="24"/>
          <w:szCs w:val="24"/>
        </w:rPr>
        <w:t>The Ombudsman's probe is distinct from those of other government bodies. The Ombudsman uses the word "investigation" to distinguish its work from that of the police, the prosecutor's office, and the Civil Servant Investigating Officers (PPNS). The primary distinction is that, unlike past investigations by the Police and Prosecutor's Office, the Ombudsman's work is not done in the context of prosecution (pro justitia). The public official who was reported must explain why the action he took did not constitute maladministration, but the Ombudsman is not responsible for proving allegations of wrongdoing by the public. The explanation or rebuttal, if any, must be backed up by reasoning and legal papers, of course. The role of the Ombudsman is to give a recommendation on the acceptability of the explanation from a good governance perspective. To be scientific, fair, fair, and objective, the evaluation process must take into account information gathered from both sides.</w:t>
      </w:r>
    </w:p>
    <w:p w14:paraId="4D750A32" w14:textId="4CF5586F" w:rsidR="002964C9" w:rsidRPr="007E7501" w:rsidRDefault="007E7501" w:rsidP="007E7501">
      <w:pPr>
        <w:pStyle w:val="ListParagraph"/>
        <w:tabs>
          <w:tab w:val="left" w:pos="1015"/>
          <w:tab w:val="left" w:pos="1016"/>
        </w:tabs>
        <w:autoSpaceDE w:val="0"/>
        <w:autoSpaceDN w:val="0"/>
        <w:spacing w:line="276" w:lineRule="auto"/>
        <w:ind w:left="862" w:firstLine="0"/>
        <w:rPr>
          <w:sz w:val="24"/>
          <w:szCs w:val="24"/>
        </w:rPr>
      </w:pPr>
      <w:r w:rsidRPr="007E7501">
        <w:rPr>
          <w:sz w:val="24"/>
          <w:szCs w:val="24"/>
        </w:rPr>
        <w:t xml:space="preserve">The Ombudsman has given many sorts of recommendations in the past. These kinds may be broken down into four categories </w:t>
      </w:r>
      <w:r w:rsidR="009E68FF" w:rsidRPr="007E7501">
        <w:rPr>
          <w:sz w:val="24"/>
          <w:szCs w:val="24"/>
        </w:rPr>
        <w:fldChar w:fldCharType="begin"/>
      </w:r>
      <w:r w:rsidR="009E68FF" w:rsidRPr="007E7501">
        <w:rPr>
          <w:sz w:val="24"/>
          <w:szCs w:val="24"/>
        </w:rPr>
        <w:instrText xml:space="preserve"> ADDIN ZOTERO_ITEM CSL_CITATION {"citationID":"LOQLLWj6","properties":{"formattedCitation":"(Sebayang &amp; Hartati, 2021)","plainCitation":"(Sebayang &amp; Hartati, 2021)","noteIndex":0},"citationItems":[{"id":5100,"uris":["http://zotero.org/users/10969092/items/CN7AYBM9"],"itemData":{"id":5100,"type":"article-journal","title":"PERAN OMBUDSMAN SEBAGAI LEMBAGA PENGAWAS PELAYANAN PUBLIK DI INDONESIA","URL":"https://mail.online-journal.unja.ac.id/Mendapo/article/view/11428","author":[{"family":"Sebayang","given":"Regina Angelita Br"},{"family":"Hartati","given":"Hartati"}],"accessed":{"date-parts":[["2023",10,25]]},"issued":{"date-parts":[["2021"]]}}}],"schema":"https://github.com/citation-style-language/schema/raw/master/csl-citation.json"} </w:instrText>
      </w:r>
      <w:r w:rsidR="009E68FF" w:rsidRPr="007E7501">
        <w:rPr>
          <w:sz w:val="24"/>
          <w:szCs w:val="24"/>
        </w:rPr>
        <w:fldChar w:fldCharType="separate"/>
      </w:r>
      <w:r w:rsidR="009E68FF" w:rsidRPr="007E7501">
        <w:rPr>
          <w:noProof/>
          <w:sz w:val="24"/>
          <w:szCs w:val="24"/>
        </w:rPr>
        <w:t>(Sebayar &amp; Hartati, 2021)</w:t>
      </w:r>
      <w:r w:rsidR="009E68FF" w:rsidRPr="007E7501">
        <w:rPr>
          <w:sz w:val="24"/>
          <w:szCs w:val="24"/>
        </w:rPr>
        <w:fldChar w:fldCharType="end"/>
      </w:r>
      <w:r w:rsidR="0059538C" w:rsidRPr="007E7501">
        <w:rPr>
          <w:sz w:val="24"/>
          <w:szCs w:val="24"/>
        </w:rPr>
        <w:t xml:space="preserve">. </w:t>
      </w:r>
      <w:r w:rsidRPr="007E7501">
        <w:rPr>
          <w:sz w:val="24"/>
          <w:szCs w:val="24"/>
        </w:rPr>
        <w:t xml:space="preserve">The first step in solving the issue reported is making suggestions. Second, suggestions for the imposition of punishments to serve as both a guide and a deterrent. Finally, suggestions for improving the procedures or systems that lead to subpar public services, and measures to avoid future instances of maladministration. Future difficulties with the Ombudsman's oversight outcomes may stem from the public's frequent query of how the Ombudsman's recommendations will be effective if they are merely moral appeals. In order to ensure that the Ombudsman's oversight role is not in vain, it is essential that his or her recommendations be implemented </w:t>
      </w:r>
      <w:r w:rsidR="009E68FF" w:rsidRPr="007E7501">
        <w:rPr>
          <w:sz w:val="24"/>
          <w:szCs w:val="24"/>
        </w:rPr>
        <w:fldChar w:fldCharType="begin"/>
      </w:r>
      <w:r w:rsidR="009E68FF" w:rsidRPr="007E7501">
        <w:rPr>
          <w:sz w:val="24"/>
          <w:szCs w:val="24"/>
        </w:rPr>
        <w:instrText xml:space="preserve"> ADDIN ZOTERO_ITEM CSL_CITATION {"citationID":"uifrXTWP","properties":{"formattedCitation":"(Setiawan, 2020)","plainCitation":"(Setiawan, 2020)","noteIndex":0},"citationItems":[{"id":5102,"uris":["http://zotero.org/users/10969092/items/ZMIPPJIZ"],"itemData":{"id":5102,"type":"article-journal","abstract":"The author grapples with the issue of how Heads of Regional government respond to Ombudsman’s recommendations, suggesting correction of public service failures, and what are the legal repercussions if those regional government heads chose to disregard such recommendation. Relevant legal norms - identified from existing legal sources - shall be discussed.  It is suggested that Heads of Regional Governments are under the legal obligation to heed the given recommendation and rectify the government error as proposed.  In practice, recommendations can and have been on numerous times been ignored.  Administrative sanctions, i.e. obligatory special re-training-education programs, in the case of failure to meet Ombudsman’s recommendation, has been dismissed with impunity by both the Ministry of Home Affairs and the Heads of Regional/Local government, by reason of political or legal considerations.","container-title":"Veritas et Justitia","DOI":"10.25123/vej.v6i2.3657","ISSN":"2460-4488","issue":"2","language":"en","license":"Copyright (c) 2020 Veritas et Justitia","note":"number: 2","page":"274-297","source":"journal.unpar.ac.id","title":"PELAKSANAAN FUNGSI REKOMENDASI OMBUDSMAN REPUBLIK INDONESIA TERHADAP KEPALA DAERAH","URL":"https://journal.unpar.ac.id/index.php/veritas/article/view/3657","volume":"6","author":[{"family":"Setiawan","given":"Adam"}],"accessed":{"date-parts":[["2023",10,25]]},"issued":{"date-parts":[["2020",12,25]]}}}],"schema":"https://github.com/citation-style-language/schema/raw/master/csl-citation.json"} </w:instrText>
      </w:r>
      <w:r w:rsidR="009E68FF" w:rsidRPr="007E7501">
        <w:rPr>
          <w:sz w:val="24"/>
          <w:szCs w:val="24"/>
        </w:rPr>
        <w:fldChar w:fldCharType="separate"/>
      </w:r>
      <w:r w:rsidR="009E68FF" w:rsidRPr="007E7501">
        <w:rPr>
          <w:noProof/>
          <w:sz w:val="24"/>
          <w:szCs w:val="24"/>
        </w:rPr>
        <w:t>(Setiawan, 2020)</w:t>
      </w:r>
      <w:r w:rsidR="009E68FF" w:rsidRPr="007E7501">
        <w:rPr>
          <w:sz w:val="24"/>
          <w:szCs w:val="24"/>
        </w:rPr>
        <w:fldChar w:fldCharType="end"/>
      </w:r>
      <w:r w:rsidR="0059538C" w:rsidRPr="007E7501">
        <w:rPr>
          <w:sz w:val="24"/>
          <w:szCs w:val="24"/>
        </w:rPr>
        <w:t>.</w:t>
      </w:r>
      <w:bookmarkStart w:id="2" w:name="_TOC_250002"/>
    </w:p>
    <w:p w14:paraId="1E14FD9A" w14:textId="77777777" w:rsidR="0059538C" w:rsidRPr="002964C9" w:rsidRDefault="0059538C" w:rsidP="002F3C45">
      <w:pPr>
        <w:pStyle w:val="BodyText"/>
        <w:spacing w:before="202" w:line="276" w:lineRule="auto"/>
        <w:ind w:left="0" w:right="116" w:firstLine="320"/>
        <w:rPr>
          <w:b/>
          <w:bCs/>
        </w:rPr>
      </w:pPr>
      <w:r w:rsidRPr="002964C9">
        <w:rPr>
          <w:b/>
          <w:bCs/>
        </w:rPr>
        <w:t>Handling of Mal-Administration by the Ombudsman of the Republic of Indonesia</w:t>
      </w:r>
      <w:bookmarkEnd w:id="2"/>
    </w:p>
    <w:p w14:paraId="2651C3D4" w14:textId="30D74C5E" w:rsidR="002F3C45" w:rsidRPr="002F3C45" w:rsidRDefault="007E7501" w:rsidP="002F3C45">
      <w:pPr>
        <w:spacing w:line="276" w:lineRule="auto"/>
        <w:ind w:left="320" w:right="114" w:firstLine="720"/>
        <w:jc w:val="both"/>
        <w:rPr>
          <w:i/>
          <w:sz w:val="24"/>
          <w:szCs w:val="24"/>
        </w:rPr>
      </w:pPr>
      <w:r w:rsidRPr="007E7501">
        <w:rPr>
          <w:sz w:val="24"/>
          <w:szCs w:val="24"/>
        </w:rPr>
        <w:t>"Maladministration" in English denotes both "bad administration" and "bad governance," from which we get our phrase "mal-administration." (The English term "administration" is derived from the Latin "administrare," which means to manage; variants of the word include "administratio," which denotes government or governance. The term "mal-administration" is described as "Poor Management or Regulation" in the Black Law Dictionary and "administration bad or bad government" in other scientific dictionaries</w:t>
      </w:r>
      <w:r>
        <w:rPr>
          <w:sz w:val="24"/>
          <w:szCs w:val="24"/>
        </w:rPr>
        <w:t xml:space="preserve"> </w:t>
      </w:r>
      <w:r w:rsidR="009F35CD" w:rsidRPr="002F3C45">
        <w:rPr>
          <w:sz w:val="24"/>
          <w:szCs w:val="24"/>
        </w:rPr>
        <w:fldChar w:fldCharType="begin"/>
      </w:r>
      <w:r w:rsidR="009F35CD" w:rsidRPr="002F3C45">
        <w:rPr>
          <w:sz w:val="24"/>
          <w:szCs w:val="24"/>
        </w:rPr>
        <w:instrText xml:space="preserve"> ADDIN ZOTERO_ITEM CSL_CITATION {"citationID":"0y3noWwM","properties":{"formattedCitation":"(Philipus et al., 1994)","plainCitation":"(Philipus et al., 1994)","noteIndex":0},"citationItems":[{"id":4371,"uris":["http://zotero.org/users/10969092/items/QIU64NNS"],"itemData":{"id":4371,"type":"book","event-place":"Yogyakarta","publisher":"Gadjah Mada University Press, Yogyakarta","publisher-place":"Yogyakarta","source":"Google Scholar","title":"Pengantar Hukum Administrasi Indonesia","author":[{"family":"Philipus","given":"Hadjon M."},{"family":"Martosoewignjo","given":"Sri Soemantri"},{"family":"Basah","given":"Sjachra"}],"issued":{"date-parts":[["1994"]]}}}],"schema":"https://github.com/citation-style-language/schema/raw/master/csl-citation.json"} </w:instrText>
      </w:r>
      <w:r w:rsidR="009F35CD" w:rsidRPr="002F3C45">
        <w:rPr>
          <w:sz w:val="24"/>
          <w:szCs w:val="24"/>
        </w:rPr>
        <w:fldChar w:fldCharType="separate"/>
      </w:r>
      <w:r w:rsidR="009F35CD" w:rsidRPr="002F3C45">
        <w:rPr>
          <w:noProof/>
          <w:sz w:val="24"/>
          <w:szCs w:val="24"/>
        </w:rPr>
        <w:t>(Philipus et al., 1994)</w:t>
      </w:r>
      <w:r w:rsidR="009F35CD" w:rsidRPr="002F3C45">
        <w:rPr>
          <w:sz w:val="24"/>
          <w:szCs w:val="24"/>
        </w:rPr>
        <w:fldChar w:fldCharType="end"/>
      </w:r>
      <w:r w:rsidR="009F35CD" w:rsidRPr="002F3C45">
        <w:rPr>
          <w:sz w:val="24"/>
          <w:szCs w:val="24"/>
        </w:rPr>
        <w:t xml:space="preserve">. </w:t>
      </w:r>
      <w:r w:rsidRPr="007E7501">
        <w:rPr>
          <w:sz w:val="24"/>
          <w:szCs w:val="24"/>
        </w:rPr>
        <w:t>A lack of care, judgment, or honesty in the management of anything, or a person's lack of care or dishonesty in managing something, is what the Cambridge dictionary means by "mal-administration."</w:t>
      </w:r>
    </w:p>
    <w:p w14:paraId="29D26F6A" w14:textId="731EDF88" w:rsidR="002F3C45" w:rsidRPr="002F3C45" w:rsidRDefault="007E7501" w:rsidP="002F3C45">
      <w:pPr>
        <w:spacing w:line="276" w:lineRule="auto"/>
        <w:ind w:left="320" w:right="114" w:firstLine="720"/>
        <w:jc w:val="both"/>
        <w:rPr>
          <w:sz w:val="24"/>
          <w:szCs w:val="24"/>
        </w:rPr>
      </w:pPr>
      <w:r w:rsidRPr="007E7501">
        <w:rPr>
          <w:sz w:val="24"/>
          <w:szCs w:val="24"/>
        </w:rPr>
        <w:t>The term "maladministration" is intrinsically linked to the Ombudsman's role and responsibilities. The success of the Ombudsman of the Republic of Indonesia in enforcing administrative reform has made this term well known and discussed in the media every day. In common parlance, "maladministration" refers to inconsequential blunders in administration</w:t>
      </w:r>
      <w:r>
        <w:rPr>
          <w:sz w:val="24"/>
          <w:szCs w:val="24"/>
        </w:rPr>
        <w:t xml:space="preserve"> </w:t>
      </w:r>
      <w:r w:rsidR="009E68FF" w:rsidRPr="002F3C45">
        <w:rPr>
          <w:sz w:val="24"/>
          <w:szCs w:val="24"/>
        </w:rPr>
        <w:fldChar w:fldCharType="begin"/>
      </w:r>
      <w:r w:rsidR="009E68FF" w:rsidRPr="002F3C45">
        <w:rPr>
          <w:sz w:val="24"/>
          <w:szCs w:val="24"/>
        </w:rPr>
        <w:instrText xml:space="preserve"> ADDIN ZOTERO_ITEM CSL_CITATION {"citationID":"14Vn3wNS","properties":{"formattedCitation":"(Mandasari et al., 2023)","plainCitation":"(Mandasari et al., 2023)","noteIndex":0},"citationItems":[{"id":5104,"uris":["http://zotero.org/users/10969092/items/JY9PASJI"],"itemData":{"id":5104,"type":"article-journal","abstract":"Instrumen hukum yang utama untuk mewujudkan pemerintahan yang bersih adalah hukum administrasi. Dengan demikian hukum administrasilah yang diharapkan untuk mencegah korupsi, karena korupsi secara umum dan luas berkaitan dengan penggunaan wewenang. Tidak adanya kejelasan mengenai batasan-batasan penyalahgunaan wewennag yang terdapat dalam Undang-Undang Nomor 30 tahun 1999 jo. Undang-Undang Nomor 20 tahun 2001 tentang pemberantasan tindak pidana korupsi, menyulitkan para penegak hukum untuk dapat mengetahui makna dari penyalahgunaan wewenang itu sendiri serta batasan-batasannya. Sehingga dengan terbitnya undang-undang nomor 30 tahun 2014 tentang administrasi pemerintahan memberikan kejelasan mengenai penyalahgunaan wewenang itu sendiri secara khusus dan hukum administrasi secara umum.","container-title":"ARMADA : Jurnal Penelitian Multidisiplin","DOI":"10.55681/armada.v1i6.614","ISSN":"2964-2981","issue":"6","language":"en","license":"Copyright (c) 2023 ARMADA : Jurnal Penelitian Multidisiplin","note":"number: 6","page":"547-560","source":"ejournal.45mataram.ac.id","title":"KONSEP MALADMINISTRASI DALAM TINDAK PIDANA KORUPSI","URL":"https://ejournal.45mataram.ac.id/index.php/armada/article/view/614","volume":"1","author":[{"family":"Mandasari","given":"Santi"},{"family":"Hanggara","given":"Reno"},{"family":"Jiwantara","given":"Firzhal Arzhi"}],"accessed":{"date-parts":[["2023",10,25]]},"issued":{"date-parts":[["2023",6,20]]}}}],"schema":"https://github.com/citation-style-language/schema/raw/master/csl-citation.json"} </w:instrText>
      </w:r>
      <w:r w:rsidR="009E68FF" w:rsidRPr="002F3C45">
        <w:rPr>
          <w:sz w:val="24"/>
          <w:szCs w:val="24"/>
        </w:rPr>
        <w:fldChar w:fldCharType="separate"/>
      </w:r>
      <w:r w:rsidR="009E68FF" w:rsidRPr="002F3C45">
        <w:rPr>
          <w:noProof/>
          <w:sz w:val="24"/>
          <w:szCs w:val="24"/>
        </w:rPr>
        <w:t>(Mandasari et al., 2023)</w:t>
      </w:r>
      <w:r w:rsidR="009E68FF" w:rsidRPr="002F3C45">
        <w:rPr>
          <w:sz w:val="24"/>
          <w:szCs w:val="24"/>
        </w:rPr>
        <w:fldChar w:fldCharType="end"/>
      </w:r>
      <w:r w:rsidR="0059538C" w:rsidRPr="002F3C45">
        <w:rPr>
          <w:sz w:val="24"/>
          <w:szCs w:val="24"/>
        </w:rPr>
        <w:t xml:space="preserve">. </w:t>
      </w:r>
      <w:r w:rsidRPr="007E7501">
        <w:rPr>
          <w:sz w:val="24"/>
          <w:szCs w:val="24"/>
        </w:rPr>
        <w:t>In fact, many situations that can result in material and immaterial losses and situations of injustice that harm the rights of citizens are included in the definition of maladministration, as stated in article 1 number 3 of Law Number 37 of 2008 concerning the Ombudsman of the Republic of Indonesia.</w:t>
      </w:r>
    </w:p>
    <w:p w14:paraId="0908EF5B" w14:textId="2877232D" w:rsidR="002F3C45" w:rsidRPr="002F3C45" w:rsidRDefault="007E7501" w:rsidP="002F3C45">
      <w:pPr>
        <w:spacing w:line="276" w:lineRule="auto"/>
        <w:ind w:left="320" w:right="114" w:firstLine="720"/>
        <w:jc w:val="both"/>
        <w:rPr>
          <w:sz w:val="24"/>
          <w:szCs w:val="24"/>
        </w:rPr>
      </w:pPr>
      <w:r w:rsidRPr="007E7501">
        <w:rPr>
          <w:sz w:val="24"/>
          <w:szCs w:val="24"/>
        </w:rPr>
        <w:t xml:space="preserve">Maladministration is defined by nine factors in Indonesian positive law: (1) illegal behavior and acts, (2) actions taken that go beyond the scope of one's authority, (3) abuse of power, and (4) failure to carry out duties assigned to one's position. Four) Carelessness Five) Ignorance of Legal Obligations Six) Laxity in Providing Public Services caused tangible and/or immaterial damages (9) to society and people (7) by State and government administrators </w:t>
      </w:r>
      <w:r w:rsidR="009F35CD" w:rsidRPr="002F3C45">
        <w:rPr>
          <w:sz w:val="24"/>
          <w:szCs w:val="24"/>
        </w:rPr>
        <w:fldChar w:fldCharType="begin"/>
      </w:r>
      <w:r w:rsidR="009F35CD" w:rsidRPr="002F3C45">
        <w:rPr>
          <w:sz w:val="24"/>
          <w:szCs w:val="24"/>
        </w:rPr>
        <w:instrText xml:space="preserve"> ADDIN ZOTERO_ITEM CSL_CITATION {"citationID":"BZz2hIiG","properties":{"formattedCitation":"(Nurtjahjo et al., 2013)","plainCitation":"(Nurtjahjo et al., 2013)","noteIndex":0},"citationItems":[{"id":5089,"uris":["http://zotero.org/users/10969092/items/3GMVT8LN"],"itemData":{"id":5089,"type":"document","language":"id","publisher":"Ombudsman Republik Indonesia","title":"MEMAHAMI MALADMINISTRASI","author":[{"family":"Nurtjahjo","given":"Hendra"},{"family":"Maturbongs","given":"Yustus"},{"family":"Rachmitasari","given":"Diani Indah"}],"issued":{"date-parts":[["2013"]]}}}],"schema":"https://github.com/citation-style-language/schema/raw/master/csl-citation.json"} </w:instrText>
      </w:r>
      <w:r w:rsidR="009F35CD" w:rsidRPr="002F3C45">
        <w:rPr>
          <w:sz w:val="24"/>
          <w:szCs w:val="24"/>
        </w:rPr>
        <w:fldChar w:fldCharType="separate"/>
      </w:r>
      <w:r w:rsidR="009F35CD" w:rsidRPr="002F3C45">
        <w:rPr>
          <w:noProof/>
          <w:sz w:val="24"/>
          <w:szCs w:val="24"/>
        </w:rPr>
        <w:t>(Nurtjahjo et al., 2013)</w:t>
      </w:r>
      <w:r w:rsidR="009F35CD" w:rsidRPr="002F3C45">
        <w:rPr>
          <w:sz w:val="24"/>
          <w:szCs w:val="24"/>
        </w:rPr>
        <w:fldChar w:fldCharType="end"/>
      </w:r>
      <w:r w:rsidR="0059538C" w:rsidRPr="002F3C45">
        <w:rPr>
          <w:sz w:val="24"/>
          <w:szCs w:val="24"/>
        </w:rPr>
        <w:t>.</w:t>
      </w:r>
    </w:p>
    <w:p w14:paraId="515C1B33" w14:textId="77777777" w:rsidR="007E7501" w:rsidRDefault="007E7501" w:rsidP="002F3C45">
      <w:pPr>
        <w:spacing w:line="276" w:lineRule="auto"/>
        <w:ind w:left="320" w:right="114" w:firstLine="720"/>
        <w:jc w:val="both"/>
        <w:rPr>
          <w:sz w:val="24"/>
          <w:szCs w:val="24"/>
        </w:rPr>
      </w:pPr>
      <w:r w:rsidRPr="007E7501">
        <w:rPr>
          <w:sz w:val="24"/>
          <w:szCs w:val="24"/>
        </w:rPr>
        <w:t>The Ombudsman of the Republic of Indonesia is tasked with receiving and investigating complaints of government mismanagement, as outlined in Law no. 37 of 2008 concerning the Ombudsman of the Republic of Indonesia. Article 1 paragraph 3 of Law number 37 of 2008 pertaining to the Ombudsman of the Republic of Indonesia is the first place the terms "mal-administration" and their meaning appear in any legal text in Indonesia. Mal-administration, as defined in Article 1, Section 3, encompasses not only illegal behavior/actions but also illegal decisions/events, the abuse of power, the use of power for purposes other than those for which it was intended, and the failure to fulfill legal obligations when providing services. tangible and/or immaterial damages to society and people caused by public actions carried out by State and government administrators, including persons who help the government in delivering public services.</w:t>
      </w:r>
    </w:p>
    <w:p w14:paraId="5F3AAF70" w14:textId="42A1B9A7" w:rsidR="0059538C" w:rsidRPr="002F3C45" w:rsidRDefault="007E7501" w:rsidP="002F3C45">
      <w:pPr>
        <w:spacing w:line="276" w:lineRule="auto"/>
        <w:ind w:left="320" w:right="114" w:firstLine="720"/>
        <w:jc w:val="both"/>
        <w:rPr>
          <w:i/>
          <w:sz w:val="24"/>
          <w:szCs w:val="24"/>
        </w:rPr>
      </w:pPr>
      <w:r w:rsidRPr="007E7501">
        <w:rPr>
          <w:sz w:val="24"/>
          <w:szCs w:val="24"/>
        </w:rPr>
        <w:t>Bureaucracy in Indonesia is in a sorry state due to a number of factors, including a lack of public awareness, a culture of ewuh pakewuh (fear, discomfort, and reluctance), lots of extortion (illegal levies), protracted delays, long and complicated bureaucracy, and the habits of public officials who ask to be served; not serve in administrative matters in government offices. Because of the difficulty in obtaining services from government offices and other public service institutions, many individuals are tempted to use illegal shortcuts. Providers of public services also profit personally from this setup</w:t>
      </w:r>
      <w:r>
        <w:rPr>
          <w:sz w:val="24"/>
          <w:szCs w:val="24"/>
        </w:rPr>
        <w:t xml:space="preserve"> </w:t>
      </w:r>
      <w:r w:rsidR="009F35CD" w:rsidRPr="002F3C45">
        <w:rPr>
          <w:sz w:val="24"/>
          <w:szCs w:val="24"/>
        </w:rPr>
        <w:fldChar w:fldCharType="begin"/>
      </w:r>
      <w:r w:rsidR="009F35CD" w:rsidRPr="002F3C45">
        <w:rPr>
          <w:sz w:val="24"/>
          <w:szCs w:val="24"/>
        </w:rPr>
        <w:instrText xml:space="preserve"> ADDIN ZOTERO_ITEM CSL_CITATION {"citationID":"UhcZe9qw","properties":{"formattedCitation":"(Nurtjahjo et al., 2013)","plainCitation":"(Nurtjahjo et al., 2013)","noteIndex":0},"citationItems":[{"id":5089,"uris":["http://zotero.org/users/10969092/items/3GMVT8LN"],"itemData":{"id":5089,"type":"document","language":"id","publisher":"Ombudsman Republik Indonesia","title":"MEMAHAMI MALADMINISTRASI","author":[{"family":"Nurtjahjo","given":"Hendra"},{"family":"Maturbongs","given":"Yustus"},{"family":"Rachmitasari","given":"Diani Indah"}],"issued":{"date-parts":[["2013"]]}}}],"schema":"https://github.com/citation-style-language/schema/raw/master/csl-citation.json"} </w:instrText>
      </w:r>
      <w:r w:rsidR="009F35CD" w:rsidRPr="002F3C45">
        <w:rPr>
          <w:sz w:val="24"/>
          <w:szCs w:val="24"/>
        </w:rPr>
        <w:fldChar w:fldCharType="separate"/>
      </w:r>
      <w:r w:rsidR="009F35CD" w:rsidRPr="002F3C45">
        <w:rPr>
          <w:noProof/>
          <w:sz w:val="24"/>
          <w:szCs w:val="24"/>
        </w:rPr>
        <w:t>(Nurtjahjo et al., 2013)</w:t>
      </w:r>
      <w:r w:rsidR="009F35CD" w:rsidRPr="002F3C45">
        <w:rPr>
          <w:sz w:val="24"/>
          <w:szCs w:val="24"/>
        </w:rPr>
        <w:fldChar w:fldCharType="end"/>
      </w:r>
      <w:r w:rsidR="0059538C" w:rsidRPr="002F3C45">
        <w:rPr>
          <w:sz w:val="24"/>
          <w:szCs w:val="24"/>
        </w:rPr>
        <w:t xml:space="preserve">. </w:t>
      </w:r>
      <w:r w:rsidRPr="007E7501">
        <w:rPr>
          <w:sz w:val="24"/>
          <w:szCs w:val="24"/>
        </w:rPr>
        <w:t>Maladministration encompasses a wide range of improper behaviors taken by public servants</w:t>
      </w:r>
      <w:r>
        <w:rPr>
          <w:sz w:val="24"/>
          <w:szCs w:val="24"/>
        </w:rPr>
        <w:t xml:space="preserve"> </w:t>
      </w:r>
      <w:r w:rsidR="009F35CD" w:rsidRPr="002F3C45">
        <w:rPr>
          <w:sz w:val="24"/>
          <w:szCs w:val="24"/>
        </w:rPr>
        <w:fldChar w:fldCharType="begin"/>
      </w:r>
      <w:r w:rsidR="009F35CD" w:rsidRPr="002F3C45">
        <w:rPr>
          <w:sz w:val="24"/>
          <w:szCs w:val="24"/>
        </w:rPr>
        <w:instrText xml:space="preserve"> ADDIN ZOTERO_ITEM CSL_CITATION {"citationID":"kohNWo4h","properties":{"formattedCitation":"(Hasibuan, 2015)","plainCitation":"(Hasibuan, 2015)","noteIndex":0},"citationItems":[{"id":5090,"uris":["http://zotero.org/users/10969092/items/5LVIQ3D3"],"itemData":{"id":5090,"type":"thesis","abstract":"According to the law no. 25 in 2009, is a public service is an activity or\r\nSeries of activitiesin order to meet the needs of the service in accordance with the\r\nLegislation of every citizen and resident of goods and services, and/or administrative service provided by the public service providers.\r\nPublic service issue are problems that can not be underestimated in this contry, because it should be the task and the main kewajiban of both centraland local government is to serve the public (community). Public service itself can be understood as any form of service, both in the form of public goods and public service that, in principle, be the primary responsibility and implemeneted government agencies at central and local levels as well as within the state-owned enterprises (BUMN) or in the neighborhood owned enterprises are (BUMD) in an effort to meet the needs of society as well as within the framework of the implementation of the provisions of the legislation.\r\nIn governance, maladministration does not only mean a deviation from the terms of writing, book keeping, procedural and so on. However maladministration interpreted wider and covers the deviations of the functions of public service or government service performed by any government officials. In other words, the act of maladministration government officials can be an act, gesture or procedure and is not limitied to mattersof administration or the administration alone.\r\nThe Ombudsman is an institution established to deal with abuse of power by government officials and assist government officials in order to implement an efficient and fair, as well as encourage holders of power melaksanakan accontability and service is good","genre":"Thesis","language":"other","note":"Accepted: 2017-09-05T08:11:42Z","publisher":"Universitas Medan Area","source":"repositori.uma.ac.id","title":"Peran Ombudsman Provinsi Sumatera Utara Dalam menindak Lanjuti Laporan Masyakat Atas dugaan Maladministrasi Penyelenggaraan pelayanan Publik Pada Kantor Ombudsman Provinsi Sumatera Utara","URL":"https://repositori.uma.ac.id/handle/123456789/1473","author":[{"family":"Hasibuan","given":"Adhe Fuari"}],"accessed":{"date-parts":[["2023",10,25]]},"issued":{"date-parts":[["2015",5]]}}}],"schema":"https://github.com/citation-style-language/schema/raw/master/csl-citation.json"} </w:instrText>
      </w:r>
      <w:r w:rsidR="009F35CD" w:rsidRPr="002F3C45">
        <w:rPr>
          <w:sz w:val="24"/>
          <w:szCs w:val="24"/>
        </w:rPr>
        <w:fldChar w:fldCharType="separate"/>
      </w:r>
      <w:r w:rsidR="009F35CD" w:rsidRPr="002F3C45">
        <w:rPr>
          <w:noProof/>
          <w:sz w:val="24"/>
          <w:szCs w:val="24"/>
        </w:rPr>
        <w:t>(Hasibuan, 2015)</w:t>
      </w:r>
      <w:r w:rsidR="009F35CD" w:rsidRPr="002F3C45">
        <w:rPr>
          <w:sz w:val="24"/>
          <w:szCs w:val="24"/>
        </w:rPr>
        <w:fldChar w:fldCharType="end"/>
      </w:r>
      <w:r w:rsidR="0059538C" w:rsidRPr="002F3C45">
        <w:rPr>
          <w:sz w:val="24"/>
          <w:szCs w:val="24"/>
        </w:rPr>
        <w:t>:</w:t>
      </w:r>
    </w:p>
    <w:p w14:paraId="7E48E647" w14:textId="77777777" w:rsidR="00245E4D" w:rsidRPr="00245E4D" w:rsidRDefault="00245E4D" w:rsidP="00245E4D">
      <w:pPr>
        <w:pStyle w:val="ListParagraph"/>
        <w:numPr>
          <w:ilvl w:val="0"/>
          <w:numId w:val="12"/>
        </w:numPr>
        <w:tabs>
          <w:tab w:val="left" w:pos="1582"/>
        </w:tabs>
        <w:autoSpaceDE w:val="0"/>
        <w:autoSpaceDN w:val="0"/>
        <w:spacing w:line="276" w:lineRule="auto"/>
        <w:ind w:left="1429" w:right="116"/>
        <w:rPr>
          <w:iCs/>
          <w:sz w:val="24"/>
          <w:szCs w:val="24"/>
        </w:rPr>
      </w:pPr>
      <w:r w:rsidRPr="00245E4D">
        <w:rPr>
          <w:iCs/>
          <w:sz w:val="24"/>
          <w:szCs w:val="24"/>
        </w:rPr>
        <w:t>First, Errorin the sense of acting in a way that is counterproductive to the workplace as a whole.</w:t>
      </w:r>
    </w:p>
    <w:p w14:paraId="6C51DADC" w14:textId="046A54EE" w:rsidR="00245E4D" w:rsidRPr="00245E4D" w:rsidRDefault="00245E4D" w:rsidP="00245E4D">
      <w:pPr>
        <w:pStyle w:val="ListParagraph"/>
        <w:numPr>
          <w:ilvl w:val="0"/>
          <w:numId w:val="12"/>
        </w:numPr>
        <w:tabs>
          <w:tab w:val="left" w:pos="1582"/>
        </w:tabs>
        <w:autoSpaceDE w:val="0"/>
        <w:autoSpaceDN w:val="0"/>
        <w:spacing w:line="276" w:lineRule="auto"/>
        <w:ind w:left="1429" w:right="116"/>
        <w:rPr>
          <w:iCs/>
          <w:sz w:val="24"/>
          <w:szCs w:val="24"/>
        </w:rPr>
      </w:pPr>
      <w:r w:rsidRPr="00245E4D">
        <w:rPr>
          <w:iCs/>
          <w:sz w:val="24"/>
          <w:szCs w:val="24"/>
        </w:rPr>
        <w:t>A dishonest methodspecifically public dishonesty and lying. For the advantage of bureaucrats, the public is given deceptive information, information that is not accurate.</w:t>
      </w:r>
    </w:p>
    <w:p w14:paraId="404C02E3" w14:textId="39B19299" w:rsidR="00245E4D" w:rsidRPr="00245E4D" w:rsidRDefault="00245E4D" w:rsidP="00245E4D">
      <w:pPr>
        <w:pStyle w:val="ListParagraph"/>
        <w:numPr>
          <w:ilvl w:val="0"/>
          <w:numId w:val="12"/>
        </w:numPr>
        <w:tabs>
          <w:tab w:val="left" w:pos="1582"/>
        </w:tabs>
        <w:autoSpaceDE w:val="0"/>
        <w:autoSpaceDN w:val="0"/>
        <w:spacing w:line="276" w:lineRule="auto"/>
        <w:ind w:left="1429" w:right="116"/>
        <w:rPr>
          <w:iCs/>
          <w:sz w:val="24"/>
          <w:szCs w:val="24"/>
        </w:rPr>
      </w:pPr>
      <w:r w:rsidRPr="00245E4D">
        <w:rPr>
          <w:iCs/>
          <w:sz w:val="24"/>
          <w:szCs w:val="24"/>
        </w:rPr>
        <w:t>Third, corruption happens when someone uses his power for selfish ends, such as benefiting himself or others at the expense of the state's coffers, or when he uses his authority for objectives other than those for which it was provided.</w:t>
      </w:r>
    </w:p>
    <w:p w14:paraId="46895EAD" w14:textId="346C7833" w:rsidR="00245E4D" w:rsidRPr="00245E4D" w:rsidRDefault="00245E4D" w:rsidP="00245E4D">
      <w:pPr>
        <w:pStyle w:val="ListParagraph"/>
        <w:numPr>
          <w:ilvl w:val="0"/>
          <w:numId w:val="12"/>
        </w:numPr>
        <w:tabs>
          <w:tab w:val="left" w:pos="1582"/>
        </w:tabs>
        <w:autoSpaceDE w:val="0"/>
        <w:autoSpaceDN w:val="0"/>
        <w:spacing w:line="276" w:lineRule="auto"/>
        <w:ind w:left="1429" w:right="116"/>
        <w:rPr>
          <w:iCs/>
          <w:sz w:val="24"/>
          <w:szCs w:val="24"/>
        </w:rPr>
      </w:pPr>
      <w:r w:rsidRPr="00245E4D">
        <w:rPr>
          <w:iCs/>
          <w:sz w:val="24"/>
          <w:szCs w:val="24"/>
        </w:rPr>
        <w:t>Poor policy implementation, in which the policymaking process is not completed. Political choices or pledges end only when a legislation is discussed or ratified, not before implementation.</w:t>
      </w:r>
    </w:p>
    <w:p w14:paraId="1507DA4A" w14:textId="4A0BECD4" w:rsidR="00245E4D" w:rsidRPr="00245E4D" w:rsidRDefault="00245E4D" w:rsidP="00245E4D">
      <w:pPr>
        <w:pStyle w:val="ListParagraph"/>
        <w:numPr>
          <w:ilvl w:val="0"/>
          <w:numId w:val="12"/>
        </w:numPr>
        <w:tabs>
          <w:tab w:val="left" w:pos="1582"/>
        </w:tabs>
        <w:autoSpaceDE w:val="0"/>
        <w:autoSpaceDN w:val="0"/>
        <w:spacing w:line="276" w:lineRule="auto"/>
        <w:ind w:left="1429" w:right="116"/>
        <w:rPr>
          <w:iCs/>
          <w:sz w:val="24"/>
          <w:szCs w:val="24"/>
        </w:rPr>
      </w:pPr>
      <w:r w:rsidRPr="00245E4D">
        <w:rPr>
          <w:iCs/>
          <w:sz w:val="24"/>
          <w:szCs w:val="24"/>
        </w:rPr>
        <w:t>Fifthly, a bureaupathologist Some examples of bureaucratic ills are:</w:t>
      </w:r>
    </w:p>
    <w:p w14:paraId="5FF30B24" w14:textId="6B396C97" w:rsidR="00245E4D" w:rsidRPr="00245E4D" w:rsidRDefault="00245E4D" w:rsidP="002F3C45">
      <w:pPr>
        <w:pStyle w:val="ListParagraph"/>
        <w:numPr>
          <w:ilvl w:val="1"/>
          <w:numId w:val="12"/>
        </w:numPr>
        <w:tabs>
          <w:tab w:val="left" w:pos="2303"/>
        </w:tabs>
        <w:autoSpaceDE w:val="0"/>
        <w:autoSpaceDN w:val="0"/>
        <w:spacing w:line="276" w:lineRule="auto"/>
        <w:ind w:left="2149" w:right="121"/>
        <w:rPr>
          <w:iCs/>
          <w:sz w:val="24"/>
          <w:szCs w:val="24"/>
        </w:rPr>
      </w:pPr>
      <w:r w:rsidRPr="00245E4D">
        <w:rPr>
          <w:iCs/>
          <w:sz w:val="24"/>
          <w:szCs w:val="24"/>
        </w:rPr>
        <w:t>Uncertaintyespecially, the lack of a definitive ruling on a certain matter. Thus, an existing case is left unresolved, or "dangling," in the absence of a definitive ruling. In such situations, many high-ranking authorities are usually involved. In actuality, a plethora of ice instances must occur.</w:t>
      </w:r>
    </w:p>
    <w:p w14:paraId="37D02205" w14:textId="4CC295A0" w:rsidR="00245E4D" w:rsidRPr="00245E4D" w:rsidRDefault="00245E4D" w:rsidP="002F3C45">
      <w:pPr>
        <w:pStyle w:val="ListParagraph"/>
        <w:numPr>
          <w:ilvl w:val="1"/>
          <w:numId w:val="12"/>
        </w:numPr>
        <w:tabs>
          <w:tab w:val="left" w:pos="2303"/>
        </w:tabs>
        <w:autoSpaceDE w:val="0"/>
        <w:autoSpaceDN w:val="0"/>
        <w:spacing w:line="276" w:lineRule="auto"/>
        <w:ind w:left="2149" w:right="121"/>
        <w:rPr>
          <w:iCs/>
          <w:sz w:val="24"/>
          <w:szCs w:val="24"/>
        </w:rPr>
      </w:pPr>
      <w:r w:rsidRPr="00245E4D">
        <w:rPr>
          <w:iCs/>
          <w:sz w:val="24"/>
          <w:szCs w:val="24"/>
        </w:rPr>
        <w:t>Red Tape, or the bureaucratic illness that causes the delivery of services to be slow and confusing even while they are feasible</w:t>
      </w:r>
    </w:p>
    <w:p w14:paraId="172F7B7B" w14:textId="15BABC22" w:rsidR="00245E4D" w:rsidRPr="00245E4D" w:rsidRDefault="00245E4D" w:rsidP="002F3C45">
      <w:pPr>
        <w:pStyle w:val="ListParagraph"/>
        <w:numPr>
          <w:ilvl w:val="1"/>
          <w:numId w:val="12"/>
        </w:numPr>
        <w:tabs>
          <w:tab w:val="left" w:pos="2303"/>
        </w:tabs>
        <w:autoSpaceDE w:val="0"/>
        <w:autoSpaceDN w:val="0"/>
        <w:spacing w:line="276" w:lineRule="auto"/>
        <w:ind w:left="2149" w:right="121"/>
        <w:rPr>
          <w:iCs/>
          <w:sz w:val="24"/>
          <w:szCs w:val="24"/>
        </w:rPr>
      </w:pPr>
      <w:r w:rsidRPr="00245E4D">
        <w:rPr>
          <w:iCs/>
          <w:sz w:val="24"/>
          <w:szCs w:val="24"/>
        </w:rPr>
        <w:t>Cicumloution, sometimes known as the ailment of too verbose bureaucrats. Lots of empty assurances. A lot of soothing remarks to help you through this difficult moment. The general population may be easily thrown off by the various inflammatory terms used among elites.</w:t>
      </w:r>
    </w:p>
    <w:p w14:paraId="2548B3BE" w14:textId="6C085847" w:rsidR="0059538C" w:rsidRPr="00245E4D" w:rsidRDefault="0059538C" w:rsidP="002F3C45">
      <w:pPr>
        <w:pStyle w:val="ListParagraph"/>
        <w:numPr>
          <w:ilvl w:val="1"/>
          <w:numId w:val="12"/>
        </w:numPr>
        <w:tabs>
          <w:tab w:val="left" w:pos="2303"/>
        </w:tabs>
        <w:autoSpaceDE w:val="0"/>
        <w:autoSpaceDN w:val="0"/>
        <w:spacing w:line="276" w:lineRule="auto"/>
        <w:ind w:left="2149" w:right="121"/>
        <w:rPr>
          <w:iCs/>
          <w:sz w:val="24"/>
          <w:szCs w:val="24"/>
        </w:rPr>
      </w:pPr>
      <w:r w:rsidRPr="00245E4D">
        <w:rPr>
          <w:iCs/>
          <w:sz w:val="24"/>
          <w:szCs w:val="24"/>
        </w:rPr>
        <w:t>Rigidity</w:t>
      </w:r>
      <w:r w:rsidR="00245E4D" w:rsidRPr="00245E4D">
        <w:rPr>
          <w:iCs/>
          <w:sz w:val="24"/>
          <w:szCs w:val="24"/>
        </w:rPr>
        <w:t xml:space="preserve"> in particular, the malady of inflexible bureaucracy. This is the result of the bureaucracy's paradigm of isolation and impersonality. This malady manifests itself in overly bureaucratic services that blindly adhere to the rules without evaluating individual situations.</w:t>
      </w:r>
    </w:p>
    <w:p w14:paraId="712447F4" w14:textId="479B0180" w:rsidR="0059538C" w:rsidRPr="00245E4D" w:rsidRDefault="0059538C" w:rsidP="002F3C45">
      <w:pPr>
        <w:pStyle w:val="ListParagraph"/>
        <w:numPr>
          <w:ilvl w:val="1"/>
          <w:numId w:val="12"/>
        </w:numPr>
        <w:tabs>
          <w:tab w:val="left" w:pos="2303"/>
        </w:tabs>
        <w:autoSpaceDE w:val="0"/>
        <w:autoSpaceDN w:val="0"/>
        <w:spacing w:line="276" w:lineRule="auto"/>
        <w:ind w:left="2149" w:right="122"/>
        <w:rPr>
          <w:iCs/>
          <w:sz w:val="24"/>
          <w:szCs w:val="24"/>
        </w:rPr>
      </w:pPr>
      <w:r w:rsidRPr="00245E4D">
        <w:rPr>
          <w:iCs/>
          <w:sz w:val="24"/>
          <w:szCs w:val="24"/>
        </w:rPr>
        <w:t>Psychophancy</w:t>
      </w:r>
      <w:r w:rsidR="00245E4D" w:rsidRPr="00245E4D">
        <w:rPr>
          <w:iCs/>
          <w:sz w:val="24"/>
          <w:szCs w:val="24"/>
        </w:rPr>
        <w:t xml:space="preserve"> in particular, bureaucrats' pernicious propensity to seek approval from higher-ups. As long as you're content, you'll have symptoms. This bureaucratic bias toward pleasing superiors rather than the public and conscience. The term "loyalty to individuals" might be used to describe this phenomena instead of "loyalty to the public."</w:t>
      </w:r>
    </w:p>
    <w:p w14:paraId="1E385795" w14:textId="0296CA37" w:rsidR="00245E4D" w:rsidRPr="00245E4D" w:rsidRDefault="00245E4D" w:rsidP="002F3C45">
      <w:pPr>
        <w:pStyle w:val="ListParagraph"/>
        <w:numPr>
          <w:ilvl w:val="1"/>
          <w:numId w:val="12"/>
        </w:numPr>
        <w:tabs>
          <w:tab w:val="left" w:pos="2303"/>
        </w:tabs>
        <w:autoSpaceDE w:val="0"/>
        <w:autoSpaceDN w:val="0"/>
        <w:spacing w:line="276" w:lineRule="auto"/>
        <w:ind w:left="2149" w:right="120"/>
        <w:rPr>
          <w:iCs/>
          <w:sz w:val="24"/>
          <w:szCs w:val="24"/>
        </w:rPr>
      </w:pPr>
      <w:r w:rsidRPr="00245E4D">
        <w:rPr>
          <w:iCs/>
          <w:sz w:val="24"/>
          <w:szCs w:val="24"/>
        </w:rPr>
        <w:t>A bureaucratic illness shown by bloated personnel levels. A large workforce might be inefficient.</w:t>
      </w:r>
    </w:p>
    <w:p w14:paraId="2DE999CC" w14:textId="32706DFD" w:rsidR="00245E4D" w:rsidRPr="00245E4D" w:rsidRDefault="00245E4D" w:rsidP="002F3C45">
      <w:pPr>
        <w:pStyle w:val="ListParagraph"/>
        <w:numPr>
          <w:ilvl w:val="1"/>
          <w:numId w:val="12"/>
        </w:numPr>
        <w:tabs>
          <w:tab w:val="left" w:pos="2303"/>
        </w:tabs>
        <w:autoSpaceDE w:val="0"/>
        <w:autoSpaceDN w:val="0"/>
        <w:spacing w:line="276" w:lineRule="auto"/>
        <w:ind w:left="2149" w:right="120"/>
        <w:rPr>
          <w:iCs/>
          <w:sz w:val="24"/>
          <w:szCs w:val="24"/>
        </w:rPr>
      </w:pPr>
      <w:r w:rsidRPr="00245E4D">
        <w:rPr>
          <w:iCs/>
          <w:sz w:val="24"/>
          <w:szCs w:val="24"/>
        </w:rPr>
        <w:t>Paperasserieis the propensity of bureaucracy to utilize a great deal of paper, a great deal of forms, and a great deal of reports, none of which are ever used for their intended purpose.</w:t>
      </w:r>
    </w:p>
    <w:p w14:paraId="4B02A453" w14:textId="335062C3" w:rsidR="0059538C" w:rsidRPr="00245E4D" w:rsidRDefault="0059538C" w:rsidP="002F3C45">
      <w:pPr>
        <w:pStyle w:val="ListParagraph"/>
        <w:numPr>
          <w:ilvl w:val="1"/>
          <w:numId w:val="12"/>
        </w:numPr>
        <w:tabs>
          <w:tab w:val="left" w:pos="2303"/>
        </w:tabs>
        <w:autoSpaceDE w:val="0"/>
        <w:autoSpaceDN w:val="0"/>
        <w:spacing w:line="276" w:lineRule="auto"/>
        <w:ind w:left="2149" w:right="120"/>
        <w:rPr>
          <w:iCs/>
          <w:sz w:val="24"/>
          <w:szCs w:val="24"/>
        </w:rPr>
      </w:pPr>
      <w:r w:rsidRPr="00245E4D">
        <w:rPr>
          <w:iCs/>
          <w:sz w:val="24"/>
          <w:szCs w:val="24"/>
        </w:rPr>
        <w:t>Defective accounting</w:t>
      </w:r>
      <w:r w:rsidR="00245E4D" w:rsidRPr="00245E4D">
        <w:rPr>
          <w:iCs/>
          <w:sz w:val="24"/>
          <w:szCs w:val="24"/>
        </w:rPr>
        <w:t xml:space="preserve"> a defective financial audit, to be specific. This indicates that there is a deliberate practice of double-reporting financial data for fraudulent ends, which is contrary to generally accepted accounting principles. A common blunder in the financial sector is the practice of overcharging for projects.</w:t>
      </w:r>
    </w:p>
    <w:p w14:paraId="40AA8C02" w14:textId="6FADF982" w:rsidR="00245E4D" w:rsidRDefault="00245E4D" w:rsidP="00245E4D">
      <w:pPr>
        <w:pStyle w:val="BodyText"/>
        <w:spacing w:before="200" w:line="276" w:lineRule="auto"/>
        <w:ind w:left="435" w:right="117" w:firstLine="720"/>
      </w:pPr>
      <w:r w:rsidRPr="00245E4D">
        <w:t xml:space="preserve">The public service provider is obligated to immediately correct any maladministrative action, decision, or incident, either at the advice or recommendation of the Ombudsman, or on the initiative of the public service provider (public sector official), if there are provisions regarding special adjudication. itself </w:t>
      </w:r>
      <w:r w:rsidR="002F3C45">
        <w:fldChar w:fldCharType="begin"/>
      </w:r>
      <w:r w:rsidR="002F3C45">
        <w:instrText xml:space="preserve"> ADDIN ZOTERO_ITEM CSL_CITATION {"citationID":"oj3Jc49s","properties":{"formattedCitation":"(Nurtjahjo, 2016)","plainCitation":"(Nurtjahjo, 2016)","noteIndex":0},"citationItems":[{"id":5108,"uris":["http://zotero.org/users/10969092/items/P36WM7ZN"],"itemData":{"id":5108,"type":"article-journal","abstract":"Keberadaan Ombudsman dalam menangani kasus maladministrasi pelayanan publik seringkali belum dapat dipahami perbedaannya dengan keberadaan Peradilan Tata Usaha negara yang menyelenggarakan peradilan administrasi. Ombudsman menangani kasus-kasus penyimpangan administratif yang dilakukan oleh penyelenggara negara sebagai penyelenggara pelayanan publik, sedangkan Peradilan Tata Usaha Negara (PTUN) menangani perkara terkait dengan dikeluarkannya ketetapan penyelenggara negara yang melanggar ketentuan administrasi. Tentu saja hal ini menunjukkan perbedaan eksistensi dari kedua lembaga tersebut walaupun sama-sama ada kaitannya dengan wilayah hukum administrasi.","container-title":"Jurnal Hukum dan Bisnis (Selisik)","DOI":"10.35814/selisik.v2i2.646","ISSN":"2685-6816","issue":"2","language":"en","license":"Copyright (c) 2016 Jurnal Hukum dan BISNIS (Selisik)","note":"number: 2","page":"32-51","source":"journal.univpancasila.ac.id","title":"Perbedaan Teoritis Antara Lembaga Penyelesaian Kasus Maladministrasi (Ombudsman) Dengan Lembaga Peradilan Administrasi (PTUN)","URL":"https://journal.univpancasila.ac.id/index.php/selisik/article/view/646","volume":"2","author":[{"family":"Nurtjahjo","given":"Hendra"}],"accessed":{"date-parts":[["2023",10,25]]},"issued":{"date-parts":[["2016"]]}}}],"schema":"https://github.com/citation-style-language/schema/raw/master/csl-citation.json"} </w:instrText>
      </w:r>
      <w:r w:rsidR="002F3C45">
        <w:fldChar w:fldCharType="separate"/>
      </w:r>
      <w:r w:rsidR="002F3C45">
        <w:rPr>
          <w:noProof/>
        </w:rPr>
        <w:t>(Nurtjahjo, 2016)</w:t>
      </w:r>
      <w:r w:rsidR="002F3C45">
        <w:fldChar w:fldCharType="end"/>
      </w:r>
      <w:r w:rsidR="0059538C">
        <w:t xml:space="preserve">. </w:t>
      </w:r>
      <w:r w:rsidRPr="00245E4D">
        <w:t>Providers of public services are required by law to accept these liabilities as part of their responsibilities and obligations. The Ombudsman may propose administrative penalties against the public service provider if it is found that certain duties and responsibilities have not been met.</w:t>
      </w:r>
    </w:p>
    <w:p w14:paraId="28C9192C" w14:textId="431CBDCF" w:rsidR="00245E4D" w:rsidRDefault="00245E4D" w:rsidP="00245E4D">
      <w:pPr>
        <w:pStyle w:val="BodyText"/>
        <w:spacing w:line="276" w:lineRule="auto"/>
        <w:ind w:left="435" w:right="117" w:firstLine="720"/>
      </w:pPr>
      <w:r w:rsidRPr="00245E4D">
        <w:t>If the services provided result in losses in the field of state administration, members of the public can sue civil service providers or implementers in the state administrative court under Law no. 25 of 2009 concerning Public Services. civil lawbreaking by the public sector. If a member of the public suspects a public servant or public servant of committing a crime, they can file a criminal complaint with the police; however, this does not relieve the offender of the duty to carry out the decision of the Ombudsman and/or the superior of the official who committed the maladministration. The Ombudsman has the authority to propose administrative punishment in cases of maladministration. The Ombudsman has the authority to suggest a variety of disciplinary actions, including a written warning, removal from office, suspension from pay for up to one year, or relegation to a lesser rank for up to one year. one) year, punishment for dishonorable dismissal, punishment for honorable dismissal, punishment for the freezing of missions and/or the revocation of permissions provided by government agencies, and punishment for the revocation of permits issued by government agencies. The Ombudsman only proposes civil law remedies, such as penalties and compensation payments, as well as criminal law remedies, such as imprisonment and fines for breaking relevant laws and regulations. The reporting official's superior then has final say over any action taken as a result.</w:t>
      </w:r>
    </w:p>
    <w:p w14:paraId="3389DB39" w14:textId="77777777" w:rsidR="00245E4D" w:rsidRDefault="00245E4D" w:rsidP="00245E4D">
      <w:pPr>
        <w:pStyle w:val="BodyText"/>
        <w:spacing w:line="276" w:lineRule="auto"/>
        <w:ind w:left="435" w:right="118"/>
      </w:pPr>
    </w:p>
    <w:p w14:paraId="0C67B2F1" w14:textId="1386787D" w:rsidR="00245E4D" w:rsidRDefault="00245E4D" w:rsidP="00245E4D">
      <w:pPr>
        <w:pStyle w:val="BodyText"/>
        <w:spacing w:line="276" w:lineRule="auto"/>
        <w:ind w:left="435" w:right="118"/>
        <w:rPr>
          <w:b/>
          <w:bCs/>
        </w:rPr>
      </w:pPr>
      <w:r w:rsidRPr="00245E4D">
        <w:rPr>
          <w:b/>
          <w:bCs/>
        </w:rPr>
        <w:t>Case Study on the Arrest of Bambang Widjojanto: An Analysis of the Binding Strength of the Recommendations of the Ombudsman of the Republic of Indonesia in the Process of Resolving Mal-Administration Cases</w:t>
      </w:r>
    </w:p>
    <w:p w14:paraId="095BD588" w14:textId="0A1CC2BE" w:rsidR="00245E4D" w:rsidRDefault="00245E4D" w:rsidP="00245E4D">
      <w:pPr>
        <w:pStyle w:val="BodyText"/>
        <w:spacing w:line="276" w:lineRule="auto"/>
        <w:ind w:left="435" w:right="118" w:firstLine="720"/>
      </w:pPr>
      <w:r w:rsidRPr="00245E4D">
        <w:t>The Ombudsman, a judicial agency established by Law No. 37 of 2008, was ruled to have no authority. As was previously mentioned, the Ombudsman exercises its supervisory responsibilities via a trifecta of means: mediation, conciliation, and recommendation-based adjudication. As such, the ombudsman's advice is only one of several options for addressing customer concerns.</w:t>
      </w:r>
    </w:p>
    <w:p w14:paraId="04D02B78" w14:textId="3BE2DD98" w:rsidR="00245E4D" w:rsidRDefault="00245E4D" w:rsidP="00245E4D">
      <w:pPr>
        <w:pStyle w:val="BodyText"/>
        <w:spacing w:line="276" w:lineRule="auto"/>
        <w:ind w:left="435" w:right="118" w:firstLine="720"/>
      </w:pPr>
      <w:r w:rsidRPr="00245E4D">
        <w:t>Recommendations may be thought of as advise or ideas. When considering the ombudsman's role and power, however, the ombudsman's comments are more than simply that</w:t>
      </w:r>
      <w:r>
        <w:t xml:space="preserve"> </w:t>
      </w:r>
      <w:r w:rsidR="009F35CD" w:rsidRPr="002F3C45">
        <w:fldChar w:fldCharType="begin"/>
      </w:r>
      <w:r w:rsidR="009F35CD" w:rsidRPr="002F3C45">
        <w:instrText xml:space="preserve"> ADDIN ZOTERO_ITEM CSL_CITATION {"citationID":"DRK1RE94","properties":{"formattedCitation":"(Sari et al., 2019)","plainCitation":"(Sari et al., 2019)","noteIndex":0},"citationItems":[{"id":5092,"uris":["http://zotero.org/users/10969092/items/IE2VK5WE"],"itemData":{"id":5092,"type":"article-journal","abstract":"This study aims to determine the role of the Ombudsman of the Republic of Indonesia in North Sumatra Representative in the Supervision of Population and Civil Registry Service in Medan City. This study uses a qualitative approach with descriptive methods describing information about the data obtained from the field in the form of written and oral data from the parties studied. Data is collected based on interviews and documentation. The results of this study indicate that the role of the Ombudsman of the Republic of Indonesia in North Sumatra was carried out in the form of external supervision. External supervision is supervision carried out by the Ombudsman of the Republic of Indonesia Representative of North Sumatra to the Medan Population and Civil Registry Service. Actions taken in the supervision process are incoming reports, follow-up of the first report and follow-up of the report. Based on the research that has been carried out, it has been concluded that the role of the Ombudsman of the Republic of Indonesia in the North Sumatra Representative in supervising the service provider of the Population and Civil Registry services is carried out in the form of external supervision. In supervising the handling of public reports of alleged poor service in the area of population administration, it has been effective, with several efforts to handle reports such as: (1) Clarification; (2) Investigation; (3) Recommendations; (4) Monitoring.","container-title":"Jurnal Ilmu Pemerintahan, Administrasi Publik, dan Ilmu Komunikasi (JIPIKOM)","DOI":"10.31289/jipikom.v1i1.141","ISSN":"2722-1148","issue":"1","language":"en","license":"Copyright (c) 2019 Jurnal Ilmu Pemerintahan, Administrasi Publik, Ilmu Komunikasi (JIPIKOM)","note":"number: 1","page":"1-12","source":"jurnalmahasiswa.uma.ac.id","title":"Peranan Ombudsman Republik Indonesia Perwakilan Sumatera Utara Dalam Pengawasan Pelayanan Dinas Kependudukan dan Catatan Sipil Kota Medan","URL":"https://jurnalmahasiswa.uma.ac.id/index.php/jipikom/article/view/141","volume":"1","author":[{"family":"Sari","given":"Putri Ananda"},{"family":"Kadir","given":"Abdul"},{"family":"Bara","given":"Beby Mashito Batu"}],"accessed":{"date-parts":[["2023",10,25]]},"issued":{"date-parts":[["2019",4,23]]}}}],"schema":"https://github.com/citation-style-language/schema/raw/master/csl-citation.json"} </w:instrText>
      </w:r>
      <w:r w:rsidR="009F35CD" w:rsidRPr="002F3C45">
        <w:fldChar w:fldCharType="separate"/>
      </w:r>
      <w:r w:rsidR="009F35CD" w:rsidRPr="002F3C45">
        <w:rPr>
          <w:noProof/>
        </w:rPr>
        <w:t>(Sari et al., 2019)</w:t>
      </w:r>
      <w:r w:rsidR="009F35CD" w:rsidRPr="002F3C45">
        <w:fldChar w:fldCharType="end"/>
      </w:r>
      <w:r w:rsidR="0059538C" w:rsidRPr="002F3C45">
        <w:t xml:space="preserve">. </w:t>
      </w:r>
      <w:r w:rsidRPr="00245E4D">
        <w:t>In accordance with Article 1 7 "Recommendations are conclusions, opinions and suggestions prepared based on the results of the Ombudsman's investigation to the Reported Party's superiors to be implemented and/or followed up in order to improve the quality of good government administration" .</w:t>
      </w:r>
    </w:p>
    <w:p w14:paraId="6ECA082B" w14:textId="745F3DBB" w:rsidR="00245E4D" w:rsidRDefault="00245E4D" w:rsidP="00245E4D">
      <w:pPr>
        <w:pStyle w:val="BodyText"/>
        <w:spacing w:line="276" w:lineRule="auto"/>
        <w:ind w:left="435" w:right="118" w:firstLine="720"/>
      </w:pPr>
      <w:r w:rsidRPr="00245E4D">
        <w:t>While the output of the Ombudsman's efforts to resolve reported concerns is not a legally enforceable court ruling, as this article demonstrates, it should not be disregarded either. Ombudsman recommendations are binding by their very nature. In accordance with the terms of Article 38, Paragraph 1:</w:t>
      </w:r>
    </w:p>
    <w:p w14:paraId="5E34BA27" w14:textId="35B4A927" w:rsidR="0059538C" w:rsidRDefault="0059538C" w:rsidP="002F3C45">
      <w:pPr>
        <w:spacing w:line="276" w:lineRule="auto"/>
        <w:ind w:left="1001" w:right="122"/>
        <w:jc w:val="both"/>
        <w:rPr>
          <w:i/>
          <w:sz w:val="24"/>
          <w:szCs w:val="24"/>
        </w:rPr>
      </w:pPr>
      <w:r w:rsidRPr="002F3C45">
        <w:rPr>
          <w:i/>
          <w:sz w:val="24"/>
          <w:szCs w:val="24"/>
        </w:rPr>
        <w:t>"The Reported Party and the Reported Party's superiors are obliged to implement the Ombudsman's Recommendations."</w:t>
      </w:r>
    </w:p>
    <w:p w14:paraId="32F440FD" w14:textId="77777777" w:rsidR="00245E4D" w:rsidRPr="002F3C45" w:rsidRDefault="00245E4D" w:rsidP="002F3C45">
      <w:pPr>
        <w:spacing w:line="276" w:lineRule="auto"/>
        <w:ind w:left="1001" w:right="122"/>
        <w:jc w:val="both"/>
        <w:rPr>
          <w:i/>
          <w:sz w:val="24"/>
          <w:szCs w:val="24"/>
        </w:rPr>
      </w:pPr>
    </w:p>
    <w:p w14:paraId="27D6638E" w14:textId="77777777" w:rsidR="0059538C" w:rsidRPr="002F3C45" w:rsidRDefault="0059538C" w:rsidP="002F3C45">
      <w:pPr>
        <w:pStyle w:val="BodyText"/>
        <w:spacing w:line="276" w:lineRule="auto"/>
        <w:ind w:left="435" w:firstLine="285"/>
        <w:jc w:val="left"/>
      </w:pPr>
      <w:r w:rsidRPr="002F3C45">
        <w:t>As well as the provisions in Article 39, which reads:</w:t>
      </w:r>
    </w:p>
    <w:p w14:paraId="66B5FBF3" w14:textId="77777777" w:rsidR="0059538C" w:rsidRPr="002F3C45" w:rsidRDefault="0059538C" w:rsidP="002F3C45">
      <w:pPr>
        <w:pStyle w:val="BodyText"/>
        <w:spacing w:line="276" w:lineRule="auto"/>
        <w:ind w:left="736"/>
        <w:jc w:val="left"/>
      </w:pPr>
    </w:p>
    <w:p w14:paraId="6E8F9069" w14:textId="77777777" w:rsidR="0059538C" w:rsidRDefault="0059538C" w:rsidP="002F3C45">
      <w:pPr>
        <w:spacing w:line="276" w:lineRule="auto"/>
        <w:ind w:left="1001" w:right="122"/>
        <w:jc w:val="both"/>
        <w:rPr>
          <w:i/>
          <w:sz w:val="24"/>
          <w:szCs w:val="24"/>
        </w:rPr>
      </w:pPr>
      <w:r w:rsidRPr="002F3C45">
        <w:rPr>
          <w:i/>
          <w:sz w:val="24"/>
          <w:szCs w:val="24"/>
        </w:rPr>
        <w:t>"The Reported Party and the Reported Party's superiors who violate the provisions as intended in Article 38 paragraph (1), paragraph (2), or paragraph (4) will be subject to administrative sanctions in accordance with the provisions of statutory regulations."</w:t>
      </w:r>
    </w:p>
    <w:p w14:paraId="14A40502" w14:textId="77777777" w:rsidR="002F3C45" w:rsidRPr="002F3C45" w:rsidRDefault="002F3C45" w:rsidP="002F3C45">
      <w:pPr>
        <w:spacing w:line="276" w:lineRule="auto"/>
        <w:ind w:left="1001" w:right="122"/>
        <w:jc w:val="both"/>
        <w:rPr>
          <w:i/>
          <w:sz w:val="24"/>
          <w:szCs w:val="24"/>
        </w:rPr>
      </w:pPr>
    </w:p>
    <w:p w14:paraId="4B86E84F" w14:textId="77777777" w:rsidR="00245E4D" w:rsidRDefault="00245E4D" w:rsidP="00245E4D">
      <w:pPr>
        <w:pStyle w:val="BodyText"/>
        <w:spacing w:line="276" w:lineRule="auto"/>
        <w:ind w:left="720" w:right="117" w:firstLine="720"/>
      </w:pPr>
      <w:r>
        <w:t>Even though the Ombudsman is not a legislative institution but rather an independent independent institution as in Article 2 of the Ombudsman Law, its recommendations are mandatory but not necessarily final and binding, as evidenced by the existence of provisions for imposing sanctions for non-implementation of Ombudsman recommendations. This necessitates more bureaucratic work to address the Ombudsman's suggestions.</w:t>
      </w:r>
    </w:p>
    <w:p w14:paraId="118AEAC1" w14:textId="77777777" w:rsidR="00245E4D" w:rsidRDefault="00245E4D" w:rsidP="00245E4D">
      <w:pPr>
        <w:pStyle w:val="BodyText"/>
        <w:spacing w:line="276" w:lineRule="auto"/>
        <w:ind w:left="720" w:right="117" w:firstLine="720"/>
      </w:pPr>
      <w:r>
        <w:t>The Police committed maladministration in the 2010 West Kotawaringin Regional Election in Central Kalimantan after misleading statements were made in the trial before the Constitutional Court in 2015. On January 23, 2015, around 07:30, a team of police officers executed the arrest of Bambang Widjojanto. In accordance with Article 18 of the Criminal Procedure Code, an arrest warrant must be presented in order to conduct a search incident to an arrest. However, the police failed to provide the required Letter of Assignment and Arrest Warrant when they arrested Bambang Widjojanto.</w:t>
      </w:r>
    </w:p>
    <w:p w14:paraId="6700C994" w14:textId="77777777" w:rsidR="00245E4D" w:rsidRDefault="00245E4D" w:rsidP="002F3C45">
      <w:pPr>
        <w:pStyle w:val="BodyText"/>
        <w:spacing w:line="276" w:lineRule="auto"/>
        <w:ind w:left="720" w:right="117" w:firstLine="720"/>
      </w:pPr>
      <w:r w:rsidRPr="00245E4D">
        <w:t>The arrest of Bambang Widjojanto is one of the Ombudsman's concerns as a supervisory entity whose responsibilities and activities are intimately tied to acts of mal-administration of public services. The Ombudsman conducted an exhaustive investigation into this case of maladministration and validated the issue by providing a full, chronological account of the events leading up to the investigation. In the case of Bambang Widjojanto's arrest, the term "maladministration" encompasses a wide range of transgressions, such as those against statute, disregard of legal responsibilities, carelessness, and procedural errors.</w:t>
      </w:r>
    </w:p>
    <w:p w14:paraId="04941067" w14:textId="1EE8E0B2" w:rsidR="0059538C" w:rsidRPr="002F3C45" w:rsidRDefault="005265D8" w:rsidP="002F3C45">
      <w:pPr>
        <w:pStyle w:val="BodyText"/>
        <w:spacing w:line="276" w:lineRule="auto"/>
        <w:ind w:left="720" w:right="117" w:firstLine="720"/>
      </w:pPr>
      <w:r w:rsidRPr="005265D8">
        <w:t xml:space="preserve">The Ombudsman has found that the police have committed maladministration in many areas, including </w:t>
      </w:r>
      <w:r w:rsidR="009F35CD" w:rsidRPr="002F3C45">
        <w:fldChar w:fldCharType="begin"/>
      </w:r>
      <w:r w:rsidR="009F35CD" w:rsidRPr="002F3C45">
        <w:instrText xml:space="preserve"> ADDIN ZOTERO_ITEM CSL_CITATION {"citationID":"aBjD1nvH","properties":{"formattedCitation":"(Solechan, 2018)","plainCitation":"(Solechan, 2018)","noteIndex":0},"citationItems":[{"id":5094,"uris":["http://zotero.org/users/10969092/items/2NKP44I7"],"itemData":{"id":5094,"type":"article-journal","abstract":"Memahami Peran Ombudsman Sebagai Badan Pengawas Penyelenggaraan Pelayanan Publik di Indonesia","container-title":"Administrative Law and Governance Journal","DOI":"10.14710/alj.v1i1.67-89","ISSN":"2621-2781","issue":"1","language":"id","note":"publisher: Administrative Law Department, Faculty of Law, Universitas Diponegoro","page":"67-89","source":"ejournal2.undip.ac.id","title":"Memahami Peran Ombudsman Sebagai Badan Pengawas Penyelenggaraan Pelayanan Publik di Indonesia","URL":"https://ejournal2.undip.ac.id/index.php/alj/article/view/2757","volume":"1","author":[{"family":"Solechan","given":"Solechan"}],"accessed":{"date-parts":[["2023",10,25]]},"issued":{"date-parts":[["2018",6,8]]}}}],"schema":"https://github.com/citation-style-language/schema/raw/master/csl-citation.json"} </w:instrText>
      </w:r>
      <w:r w:rsidR="009F35CD" w:rsidRPr="002F3C45">
        <w:fldChar w:fldCharType="separate"/>
      </w:r>
      <w:r w:rsidR="009F35CD" w:rsidRPr="002F3C45">
        <w:rPr>
          <w:noProof/>
        </w:rPr>
        <w:t>(Solechan, 2018)</w:t>
      </w:r>
      <w:r w:rsidR="009F35CD" w:rsidRPr="002F3C45">
        <w:fldChar w:fldCharType="end"/>
      </w:r>
      <w:r w:rsidR="0059538C" w:rsidRPr="002F3C45">
        <w:t>:</w:t>
      </w:r>
    </w:p>
    <w:p w14:paraId="64294B03" w14:textId="77777777" w:rsidR="005265D8" w:rsidRDefault="005265D8" w:rsidP="002F3C45">
      <w:pPr>
        <w:pStyle w:val="ListParagraph"/>
        <w:numPr>
          <w:ilvl w:val="3"/>
          <w:numId w:val="11"/>
        </w:numPr>
        <w:tabs>
          <w:tab w:val="left" w:pos="1722"/>
        </w:tabs>
        <w:autoSpaceDE w:val="0"/>
        <w:autoSpaceDN w:val="0"/>
        <w:spacing w:line="276" w:lineRule="auto"/>
        <w:ind w:left="1568" w:right="120"/>
        <w:rPr>
          <w:sz w:val="24"/>
          <w:szCs w:val="24"/>
        </w:rPr>
      </w:pPr>
      <w:r w:rsidRPr="005265D8">
        <w:rPr>
          <w:sz w:val="24"/>
          <w:szCs w:val="24"/>
        </w:rPr>
        <w:t>The police detained Budi Widjojanto without first issuing a warrant or summons. According to Article 36 of the Republic of Indonesia Police Chief Regulation (Perkap) No. 14 of 2012 Governing the Management of Criminal Investigations, a Summons is required before any criminal investigation may begin.</w:t>
      </w:r>
    </w:p>
    <w:p w14:paraId="7F54F0BA" w14:textId="77777777" w:rsidR="00245E4D" w:rsidRDefault="00245E4D" w:rsidP="002F3C45">
      <w:pPr>
        <w:pStyle w:val="ListParagraph"/>
        <w:numPr>
          <w:ilvl w:val="3"/>
          <w:numId w:val="11"/>
        </w:numPr>
        <w:tabs>
          <w:tab w:val="left" w:pos="1722"/>
        </w:tabs>
        <w:autoSpaceDE w:val="0"/>
        <w:autoSpaceDN w:val="0"/>
        <w:spacing w:before="1" w:line="276" w:lineRule="auto"/>
        <w:ind w:left="1568" w:right="121"/>
        <w:rPr>
          <w:sz w:val="24"/>
          <w:szCs w:val="24"/>
        </w:rPr>
      </w:pPr>
      <w:r w:rsidRPr="00245E4D">
        <w:rPr>
          <w:sz w:val="24"/>
          <w:szCs w:val="24"/>
        </w:rPr>
        <w:t>According to Article 18 paragraph (1) of Law no. 8 of 1981 concerning the Criminal Procedure Code (KUHAP), the suspect's identity was misstated in the Arrest Letter, and the provisions (articles) indicating the role and qualifications of the suspect as the perpetrator of a criminal act were not described in sufficient detail.</w:t>
      </w:r>
    </w:p>
    <w:p w14:paraId="20704572" w14:textId="77777777" w:rsidR="00245E4D" w:rsidRDefault="00245E4D" w:rsidP="002F3C45">
      <w:pPr>
        <w:pStyle w:val="ListParagraph"/>
        <w:numPr>
          <w:ilvl w:val="3"/>
          <w:numId w:val="11"/>
        </w:numPr>
        <w:tabs>
          <w:tab w:val="left" w:pos="1722"/>
        </w:tabs>
        <w:autoSpaceDE w:val="0"/>
        <w:autoSpaceDN w:val="0"/>
        <w:spacing w:line="276" w:lineRule="auto"/>
        <w:ind w:left="1568" w:right="124"/>
        <w:rPr>
          <w:sz w:val="24"/>
          <w:szCs w:val="24"/>
        </w:rPr>
      </w:pPr>
      <w:r w:rsidRPr="00245E4D">
        <w:rPr>
          <w:sz w:val="24"/>
          <w:szCs w:val="24"/>
        </w:rPr>
        <w:t>Third, the Ombudsman's investigation revealed that the NP issued a Home Search Issuance Letter without first obtaining approval from the PN's District Court Chairman. In reality, Article 57 paragraphs (1) and (2) of Perkap No. 14 of 2010 Governing Management of Criminal Investigations as well as Article 33 paragraph (1) of the Criminal Procedure Code govern the application for a search warrant.</w:t>
      </w:r>
    </w:p>
    <w:p w14:paraId="04D5195B" w14:textId="77777777" w:rsidR="00245E4D" w:rsidRDefault="00245E4D" w:rsidP="002F3C45">
      <w:pPr>
        <w:pStyle w:val="ListParagraph"/>
        <w:numPr>
          <w:ilvl w:val="3"/>
          <w:numId w:val="11"/>
        </w:numPr>
        <w:tabs>
          <w:tab w:val="left" w:pos="1722"/>
        </w:tabs>
        <w:autoSpaceDE w:val="0"/>
        <w:autoSpaceDN w:val="0"/>
        <w:spacing w:line="276" w:lineRule="auto"/>
        <w:ind w:left="1568" w:right="120"/>
        <w:rPr>
          <w:sz w:val="24"/>
          <w:szCs w:val="24"/>
        </w:rPr>
      </w:pPr>
      <w:r w:rsidRPr="00245E4D">
        <w:rPr>
          <w:sz w:val="24"/>
          <w:szCs w:val="24"/>
        </w:rPr>
        <w:t>No preliminary research was done for this study. 4. As such, Article 12 and 5 of the Criminal Procedure Code, as well as Articles 4 and 15 of Perkap no. 14 of 2012, have been broken.</w:t>
      </w:r>
    </w:p>
    <w:p w14:paraId="6AF5BE56" w14:textId="7093E180" w:rsidR="00245E4D" w:rsidRDefault="00245E4D" w:rsidP="00245E4D">
      <w:pPr>
        <w:pStyle w:val="BodyText"/>
        <w:numPr>
          <w:ilvl w:val="3"/>
          <w:numId w:val="11"/>
        </w:numPr>
        <w:spacing w:line="276" w:lineRule="auto"/>
        <w:ind w:right="123"/>
      </w:pPr>
      <w:r w:rsidRPr="00245E4D">
        <w:t>The Bambang Widjojanto case seems to have been handled in a biased manner. There have been several instances like the Bambang Widjojanti case since 2003, but the police have yet to solve any of them. In contrast, Bambang Widjojanto's case was dealt with swiftly, from the time of the first police complaint on January 19 until the time of his arrest on January 23. This demonstrates bias in case processing, in violation of Paragraph (2) of Article 16 of Law No. 2 of 2002 Regarding the National Police.</w:t>
      </w:r>
    </w:p>
    <w:p w14:paraId="75A2799F" w14:textId="4523014D" w:rsidR="005265D8" w:rsidRDefault="005265D8" w:rsidP="00245E4D">
      <w:pPr>
        <w:pStyle w:val="BodyText"/>
        <w:spacing w:line="276" w:lineRule="auto"/>
        <w:ind w:left="1361" w:right="123" w:firstLine="551"/>
      </w:pPr>
      <w:r>
        <w:t>The Ombudsman issued Letter of Recommendation Number 003/REK/0105.2015/PD-21/II/2015 on February 18, 2015, regarding the matter of police maladministration in the arrest of Bambang Widjojanto. Bambang Widjojanto, an investigator for Economic and Special Crimes, was arrested, as stated in the referral letter. The Ombudsman has made four (4) suggestions to the National Police Chief.</w:t>
      </w:r>
    </w:p>
    <w:p w14:paraId="3F41FE13" w14:textId="77777777" w:rsidR="005265D8" w:rsidRDefault="005265D8" w:rsidP="005265D8">
      <w:pPr>
        <w:pStyle w:val="BodyText"/>
        <w:spacing w:line="276" w:lineRule="auto"/>
        <w:ind w:right="123" w:firstLine="551"/>
      </w:pPr>
      <w:r>
        <w:t>First, he instructed Kabareskrim and his team to follow all applicable laws and procedures while they conducted their inquiry. Perkap No. 8 of 2009, Implementation of Human Rights Principles and Standards in the Performance of the Duties of the National Police of the Republic of Indonesia, and the Criminal Procedure Code are all examples of such laws.</w:t>
      </w:r>
    </w:p>
    <w:p w14:paraId="21C5CB21" w14:textId="77777777" w:rsidR="005265D8" w:rsidRDefault="005265D8" w:rsidP="005265D8">
      <w:pPr>
        <w:pStyle w:val="BodyText"/>
        <w:spacing w:line="276" w:lineRule="auto"/>
        <w:ind w:right="123" w:firstLine="551"/>
      </w:pPr>
      <w:r>
        <w:t>Second, in order to raise the level of professionalism and competence among investigators and their superiors, instruction, training, and supervision must be made available. Because the reporter (Bambang Widjojanto) has yet to be arrested in accordance with Article 100 of Perkap No. 14 of 2012 about the Management of Criminal Investigations.</w:t>
      </w:r>
    </w:p>
    <w:p w14:paraId="7FD7594B" w14:textId="28B0CD6E" w:rsidR="005265D8" w:rsidRDefault="005265D8" w:rsidP="005265D8">
      <w:pPr>
        <w:pStyle w:val="BodyText"/>
        <w:spacing w:line="276" w:lineRule="auto"/>
        <w:ind w:right="123" w:firstLine="551"/>
      </w:pPr>
      <w:r>
        <w:t>Third, conducting investigations and applying punishments for the alleged maladministration committed by Kombes Po Daniel Tifaona as Head of Subunit VI of the Directorate of Economic and Special Crimes and investigators who handled the arrest and examination of Bambang Widjojanto.</w:t>
      </w:r>
    </w:p>
    <w:p w14:paraId="51FB5B5E" w14:textId="77777777" w:rsidR="005265D8" w:rsidRDefault="005265D8" w:rsidP="005265D8">
      <w:pPr>
        <w:pStyle w:val="BodyText"/>
        <w:spacing w:line="276" w:lineRule="auto"/>
        <w:ind w:right="123"/>
      </w:pPr>
      <w:r>
        <w:t>Fourth, investigate and punish Police Commissioner Victor E. Simanjuntak for his role in the arrest, which went beyond the terms of the Investigation and Arrest Warrant.</w:t>
      </w:r>
    </w:p>
    <w:p w14:paraId="4DAA8FA2" w14:textId="68CB1541" w:rsidR="005265D8" w:rsidRDefault="005265D8" w:rsidP="005265D8">
      <w:pPr>
        <w:pStyle w:val="BodyText"/>
        <w:spacing w:line="276" w:lineRule="auto"/>
        <w:ind w:right="123" w:firstLine="551"/>
      </w:pPr>
      <w:r>
        <w:t>The majority of these suggestions deal with making sure every rule is followed, fixing the faults that have been identified, punishing those responsible, and preventing the same mistakes from happening again. According to paragraph (1) of Article 36 of the Ombudsman Law, the Reported Party must follow the Ombudsman's four recommendations. Additional administrative work is needed to execute suggestions, but they have legal weight in resolving issues of maladministration. The reporting superior is responsible for carrying out the recommendations and submitting a report detailing the results of the disciplinary action taken. According to Article 36, sections 1 and 2, which state:</w:t>
      </w:r>
    </w:p>
    <w:p w14:paraId="49B5A795" w14:textId="77777777" w:rsidR="005265D8" w:rsidRPr="002F3C45" w:rsidRDefault="005265D8" w:rsidP="005265D8">
      <w:pPr>
        <w:pStyle w:val="BodyText"/>
        <w:spacing w:before="98" w:line="276" w:lineRule="auto"/>
        <w:ind w:left="0" w:right="123"/>
      </w:pPr>
    </w:p>
    <w:p w14:paraId="0AD7381A" w14:textId="137EE08E" w:rsidR="0059538C" w:rsidRPr="002F3C45" w:rsidRDefault="005265D8" w:rsidP="002F3C45">
      <w:pPr>
        <w:pStyle w:val="ListParagraph"/>
        <w:numPr>
          <w:ilvl w:val="0"/>
          <w:numId w:val="10"/>
        </w:numPr>
        <w:tabs>
          <w:tab w:val="left" w:pos="1722"/>
        </w:tabs>
        <w:autoSpaceDE w:val="0"/>
        <w:autoSpaceDN w:val="0"/>
        <w:spacing w:line="276" w:lineRule="auto"/>
        <w:ind w:left="1568" w:right="121"/>
        <w:rPr>
          <w:i/>
          <w:sz w:val="24"/>
          <w:szCs w:val="24"/>
        </w:rPr>
      </w:pPr>
      <w:r>
        <w:rPr>
          <w:i/>
          <w:sz w:val="24"/>
          <w:szCs w:val="24"/>
        </w:rPr>
        <w:t>“</w:t>
      </w:r>
      <w:r w:rsidR="0059538C" w:rsidRPr="002F3C45">
        <w:rPr>
          <w:i/>
          <w:sz w:val="24"/>
          <w:szCs w:val="24"/>
        </w:rPr>
        <w:t>The Reported Party and the Reported Party's superiors are obliged to implement the Ombudsman's Recommendations.</w:t>
      </w:r>
    </w:p>
    <w:p w14:paraId="7D8FEB86" w14:textId="37D1F4CF" w:rsidR="0059538C" w:rsidRPr="002F3C45" w:rsidRDefault="0059538C" w:rsidP="002F3C45">
      <w:pPr>
        <w:pStyle w:val="ListParagraph"/>
        <w:numPr>
          <w:ilvl w:val="0"/>
          <w:numId w:val="10"/>
        </w:numPr>
        <w:tabs>
          <w:tab w:val="left" w:pos="1722"/>
        </w:tabs>
        <w:autoSpaceDE w:val="0"/>
        <w:autoSpaceDN w:val="0"/>
        <w:spacing w:line="276" w:lineRule="auto"/>
        <w:ind w:left="1568" w:right="118"/>
        <w:rPr>
          <w:i/>
          <w:sz w:val="24"/>
          <w:szCs w:val="24"/>
        </w:rPr>
      </w:pPr>
      <w:r w:rsidRPr="002F3C45">
        <w:rPr>
          <w:i/>
          <w:sz w:val="24"/>
          <w:szCs w:val="24"/>
        </w:rPr>
        <w:t>The Reported Party's superior is obliged to submit a report to the Ombudsman regarding the implementation of the Recommendations that have been carried out along with the results of the examination within a period of no later than 60 (sixty) days from the date of receipt of the Recommendations.</w:t>
      </w:r>
      <w:r w:rsidR="005265D8">
        <w:rPr>
          <w:i/>
          <w:sz w:val="24"/>
          <w:szCs w:val="24"/>
        </w:rPr>
        <w:t>”</w:t>
      </w:r>
    </w:p>
    <w:p w14:paraId="0C78B9F8" w14:textId="77777777" w:rsidR="005265D8" w:rsidRDefault="005265D8" w:rsidP="005265D8">
      <w:pPr>
        <w:pStyle w:val="BodyText"/>
        <w:spacing w:line="276" w:lineRule="auto"/>
        <w:ind w:left="720" w:right="118" w:firstLine="720"/>
        <w:rPr>
          <w:color w:val="222222"/>
        </w:rPr>
      </w:pPr>
    </w:p>
    <w:p w14:paraId="0C6F4668" w14:textId="4D8BEFBB" w:rsidR="00E046DA" w:rsidRPr="002F3C45" w:rsidRDefault="005265D8" w:rsidP="005265D8">
      <w:pPr>
        <w:pStyle w:val="BodyText"/>
        <w:spacing w:line="276" w:lineRule="auto"/>
        <w:ind w:left="720" w:right="118" w:firstLine="720"/>
        <w:rPr>
          <w:rFonts w:asciiTheme="majorHAnsi" w:hAnsiTheme="majorHAnsi"/>
          <w:spacing w:val="1"/>
        </w:rPr>
      </w:pPr>
      <w:r w:rsidRPr="005265D8">
        <w:rPr>
          <w:color w:val="222222"/>
        </w:rPr>
        <w:t>The party who has been reported is under responsibility to follow the Ombudsman's recommendations, and failing to do so will result in repercussions. In accordance with Article 38(4) of the Ombudsman Law, the Ombudsman may publish the names of the Reported Party's superiors who do not implement the Recommendations and submit a report to the House of Representatives and the President if the Reported Party and the Reported Party's superiors do not implement the Recommendations or only partially implement the Recommendations for reasons that are not acceptable to the Ombudsman. According to Article 39 of the Ombudsman Law, both the reporting party and the reporting supervisor may face administrative consequences if they fail to implement the ombudsman's recommendations. Based on the above, the author proposes the following changes to the law to better reflect the Ombudsman's function:</w:t>
      </w:r>
    </w:p>
    <w:p w14:paraId="254E4216" w14:textId="77777777" w:rsidR="005265D8" w:rsidRDefault="005265D8" w:rsidP="005265D8">
      <w:pPr>
        <w:pStyle w:val="BodyText"/>
        <w:numPr>
          <w:ilvl w:val="2"/>
          <w:numId w:val="26"/>
        </w:numPr>
        <w:spacing w:line="276" w:lineRule="auto"/>
        <w:ind w:right="118"/>
        <w:rPr>
          <w:rFonts w:asciiTheme="majorHAnsi" w:hAnsiTheme="majorHAnsi"/>
          <w:spacing w:val="1"/>
        </w:rPr>
      </w:pPr>
      <w:r w:rsidRPr="005265D8">
        <w:rPr>
          <w:rFonts w:asciiTheme="majorHAnsi" w:hAnsiTheme="majorHAnsi"/>
          <w:spacing w:val="1"/>
        </w:rPr>
        <w:t>First, the Ombudsman's authority might be expanded if the rules regulating them were revised to provide them greater legal ability to guarantee their recommendations are carried out.</w:t>
      </w:r>
    </w:p>
    <w:p w14:paraId="604C1112" w14:textId="6A8FAF8A" w:rsidR="005265D8" w:rsidRDefault="005265D8" w:rsidP="005265D8">
      <w:pPr>
        <w:pStyle w:val="BodyText"/>
        <w:numPr>
          <w:ilvl w:val="2"/>
          <w:numId w:val="26"/>
        </w:numPr>
        <w:spacing w:line="276" w:lineRule="auto"/>
        <w:ind w:right="118"/>
        <w:rPr>
          <w:rFonts w:asciiTheme="majorHAnsi" w:hAnsiTheme="majorHAnsi"/>
          <w:spacing w:val="1"/>
        </w:rPr>
      </w:pPr>
      <w:r w:rsidRPr="005265D8">
        <w:rPr>
          <w:rFonts w:asciiTheme="majorHAnsi" w:hAnsiTheme="majorHAnsi"/>
          <w:spacing w:val="1"/>
        </w:rPr>
        <w:t>Encouraging the Ombudsman and other government agencies to work together more effectively is a top priority for improving interagency collaboration. In order to improve communication and teamwork, it may be required to implement new processes.</w:t>
      </w:r>
    </w:p>
    <w:p w14:paraId="7FFFA29C" w14:textId="161C8CA3" w:rsidR="005265D8" w:rsidRDefault="005265D8" w:rsidP="005265D8">
      <w:pPr>
        <w:pStyle w:val="BodyText"/>
        <w:numPr>
          <w:ilvl w:val="2"/>
          <w:numId w:val="26"/>
        </w:numPr>
        <w:spacing w:line="276" w:lineRule="auto"/>
        <w:ind w:right="118"/>
        <w:rPr>
          <w:rFonts w:asciiTheme="majorHAnsi" w:hAnsiTheme="majorHAnsi"/>
          <w:spacing w:val="1"/>
        </w:rPr>
      </w:pPr>
      <w:r w:rsidRPr="005265D8">
        <w:rPr>
          <w:rFonts w:asciiTheme="majorHAnsi" w:hAnsiTheme="majorHAnsi"/>
          <w:spacing w:val="1"/>
        </w:rPr>
        <w:t>More people will be aware of the Ombudsman's existence and be more likely to report instances of maladministration if public education initiatives are improved.</w:t>
      </w:r>
    </w:p>
    <w:p w14:paraId="678F9F8A" w14:textId="0E0C1148" w:rsidR="005265D8" w:rsidRDefault="005265D8" w:rsidP="005265D8">
      <w:pPr>
        <w:pStyle w:val="BodyText"/>
        <w:numPr>
          <w:ilvl w:val="2"/>
          <w:numId w:val="26"/>
        </w:numPr>
        <w:spacing w:line="276" w:lineRule="auto"/>
        <w:ind w:right="118"/>
        <w:rPr>
          <w:rFonts w:asciiTheme="majorHAnsi" w:hAnsiTheme="majorHAnsi"/>
          <w:spacing w:val="1"/>
        </w:rPr>
      </w:pPr>
      <w:r w:rsidRPr="005265D8">
        <w:rPr>
          <w:rFonts w:asciiTheme="majorHAnsi" w:hAnsiTheme="majorHAnsi"/>
          <w:spacing w:val="1"/>
        </w:rPr>
        <w:t>Increased Funding and Staffing: The Ombudsman's office needs more money and people to function effectively.</w:t>
      </w:r>
    </w:p>
    <w:p w14:paraId="407C0C92" w14:textId="524621E8" w:rsidR="005265D8" w:rsidRDefault="005265D8" w:rsidP="005265D8">
      <w:pPr>
        <w:pStyle w:val="BodyText"/>
        <w:numPr>
          <w:ilvl w:val="2"/>
          <w:numId w:val="26"/>
        </w:numPr>
        <w:spacing w:line="276" w:lineRule="auto"/>
        <w:ind w:right="118"/>
        <w:rPr>
          <w:rFonts w:asciiTheme="majorHAnsi" w:hAnsiTheme="majorHAnsi"/>
          <w:spacing w:val="1"/>
        </w:rPr>
      </w:pPr>
      <w:r w:rsidRPr="005265D8">
        <w:rPr>
          <w:rFonts w:asciiTheme="majorHAnsi" w:hAnsiTheme="majorHAnsi"/>
          <w:spacing w:val="1"/>
        </w:rPr>
        <w:t>Robust Legal Enforcement: The function of the Ombudsman may be strengthened by making it possible to take legal action if the Ombudsman's recommendations are ignored.</w:t>
      </w:r>
    </w:p>
    <w:p w14:paraId="7360E35A" w14:textId="4D2080C3" w:rsidR="002F3C45" w:rsidRDefault="009B5698" w:rsidP="005265D8">
      <w:pPr>
        <w:pStyle w:val="BodyText"/>
        <w:spacing w:line="276" w:lineRule="auto"/>
        <w:ind w:left="720" w:right="118" w:firstLine="720"/>
        <w:rPr>
          <w:rFonts w:asciiTheme="majorHAnsi" w:hAnsiTheme="majorHAnsi"/>
          <w:spacing w:val="1"/>
        </w:rPr>
      </w:pPr>
      <w:r w:rsidRPr="009B5698">
        <w:rPr>
          <w:rFonts w:asciiTheme="majorHAnsi" w:hAnsiTheme="majorHAnsi"/>
          <w:spacing w:val="1"/>
        </w:rPr>
        <w:t>It will require cooperation between the legislative and executive branches, as well as the Ombudsman, to rethink the Ombudsman's role in the legal system. By establishing a firm legal grounding for the exercise of their supervisory duty, this strengthens the Ombudsman as an organization committed to fostering good governanc</w:t>
      </w:r>
      <w:r>
        <w:rPr>
          <w:rFonts w:asciiTheme="majorHAnsi" w:hAnsiTheme="majorHAnsi"/>
          <w:spacing w:val="1"/>
        </w:rPr>
        <w:t>e and protecting citizen rights</w:t>
      </w:r>
      <w:r w:rsidR="005265D8" w:rsidRPr="005265D8">
        <w:rPr>
          <w:rFonts w:asciiTheme="majorHAnsi" w:hAnsiTheme="majorHAnsi"/>
          <w:spacing w:val="1"/>
        </w:rPr>
        <w:t>.</w:t>
      </w:r>
    </w:p>
    <w:p w14:paraId="73C0E759" w14:textId="77777777" w:rsidR="005265D8" w:rsidRPr="002F3C45" w:rsidRDefault="005265D8" w:rsidP="002F3C45">
      <w:pPr>
        <w:pStyle w:val="BodyText"/>
        <w:spacing w:line="276" w:lineRule="auto"/>
        <w:ind w:left="310" w:right="118" w:firstLine="410"/>
        <w:rPr>
          <w:rFonts w:asciiTheme="majorHAnsi" w:hAnsiTheme="majorHAnsi"/>
          <w:spacing w:val="1"/>
        </w:rPr>
      </w:pPr>
    </w:p>
    <w:p w14:paraId="66FEFBEA" w14:textId="77777777" w:rsidR="00BC54D9" w:rsidRDefault="00C510CC">
      <w:pPr>
        <w:pStyle w:val="Heading1"/>
        <w:spacing w:before="1" w:line="321" w:lineRule="auto"/>
        <w:ind w:firstLine="462"/>
        <w:jc w:val="both"/>
      </w:pPr>
      <w:r>
        <w:t>4. Conclusion</w:t>
      </w:r>
    </w:p>
    <w:p w14:paraId="73A78608" w14:textId="77777777" w:rsidR="009B5698" w:rsidRPr="009B5698" w:rsidRDefault="009B5698" w:rsidP="009B5698">
      <w:pPr>
        <w:pBdr>
          <w:top w:val="nil"/>
          <w:left w:val="nil"/>
          <w:bottom w:val="nil"/>
          <w:right w:val="nil"/>
          <w:between w:val="nil"/>
        </w:pBdr>
        <w:spacing w:line="276" w:lineRule="auto"/>
        <w:ind w:left="462" w:firstLine="720"/>
        <w:jc w:val="both"/>
        <w:rPr>
          <w:color w:val="000000"/>
          <w:sz w:val="24"/>
          <w:szCs w:val="24"/>
        </w:rPr>
      </w:pPr>
      <w:r w:rsidRPr="009B5698">
        <w:rPr>
          <w:color w:val="000000"/>
          <w:sz w:val="24"/>
          <w:szCs w:val="24"/>
        </w:rPr>
        <w:t>The Ombudsman plays a critical role in ensuring the government operates ethically and fairly. Complaints of administrative malfeasance can be received, investigated, and recommendations made by these independent authorities. The Ombudsman is a kind of law enforcement used by the public when they have complaints about government services. Despite the importance of the Ombudsman's work in Indonesia's fight against corruption and poor administration, the Ombudsman's ability to accomplish his or her job is hampered by a variety of factors. These include a lack of resources, a public that is unclear about the Ombudsman's role, an unwillingness to collaborate with other government agencies, and a lack of legal support for the Ombudsman's conclusions and recommendations.</w:t>
      </w:r>
    </w:p>
    <w:p w14:paraId="7CCDC801" w14:textId="77777777" w:rsidR="009B5698" w:rsidRPr="009B5698" w:rsidRDefault="009B5698" w:rsidP="009B5698">
      <w:pPr>
        <w:pBdr>
          <w:top w:val="nil"/>
          <w:left w:val="nil"/>
          <w:bottom w:val="nil"/>
          <w:right w:val="nil"/>
          <w:between w:val="nil"/>
        </w:pBdr>
        <w:spacing w:line="276" w:lineRule="auto"/>
        <w:ind w:left="462" w:firstLine="720"/>
        <w:jc w:val="both"/>
        <w:rPr>
          <w:color w:val="000000"/>
          <w:sz w:val="24"/>
          <w:szCs w:val="24"/>
        </w:rPr>
      </w:pPr>
      <w:r w:rsidRPr="009B5698">
        <w:rPr>
          <w:color w:val="000000"/>
          <w:sz w:val="24"/>
          <w:szCs w:val="24"/>
        </w:rPr>
        <w:t>If the law could be changed to give the Ombudsman more authority, it might improve the quality of government services. Legislation governing the Ombudsman must be updated as part of this process, and one reform should be to give them broader authority to issue recommendations with binding legal repercussions. Improving public education initiatives and strengthening coordination between the Ombudsman's office and other government organizations are also crucial to raising awareness of the Ombudsman's role. The Ombudsman's office needs adequate funds from the government in order to do its job. As a result, the Ombudsman has a great chance to become a leading force in reforming Indonesia's public sector. Reconstructing the law, raising public awareness, and working more closely with other government agencies could all help the Ombudsman in Indonesia do a better job of guaranteeing accountability, justice, and legal clarity in the administration of public services.</w:t>
      </w:r>
    </w:p>
    <w:p w14:paraId="1FAB9E2F" w14:textId="6A0F185C" w:rsidR="008A7009" w:rsidRPr="008A7009" w:rsidRDefault="009B5698" w:rsidP="009B5698">
      <w:pPr>
        <w:pBdr>
          <w:top w:val="nil"/>
          <w:left w:val="nil"/>
          <w:bottom w:val="nil"/>
          <w:right w:val="nil"/>
          <w:between w:val="nil"/>
        </w:pBdr>
        <w:spacing w:line="276" w:lineRule="auto"/>
        <w:ind w:left="462" w:firstLine="720"/>
        <w:jc w:val="both"/>
        <w:rPr>
          <w:color w:val="000000"/>
          <w:sz w:val="24"/>
          <w:szCs w:val="24"/>
        </w:rPr>
      </w:pPr>
      <w:r w:rsidRPr="009B5698">
        <w:rPr>
          <w:color w:val="000000"/>
          <w:sz w:val="24"/>
          <w:szCs w:val="24"/>
        </w:rPr>
        <w:t>The results of this study underline the value of the Ombudsman's role in preventing misconduct by public officials. However, for the Ombudsman to be successful, the government must provide support through legislation, financing, and awareness-raising initiatives. By taking these steps, the Indonesian Ombudsman will be better able to protect citizens' rights from corrupt officials and boost the s</w:t>
      </w:r>
      <w:r>
        <w:rPr>
          <w:color w:val="000000"/>
          <w:sz w:val="24"/>
          <w:szCs w:val="24"/>
        </w:rPr>
        <w:t>tandard of government services</w:t>
      </w:r>
      <w:r w:rsidR="008A7009" w:rsidRPr="008A7009">
        <w:rPr>
          <w:color w:val="000000"/>
          <w:sz w:val="24"/>
          <w:szCs w:val="24"/>
        </w:rPr>
        <w:t>.</w:t>
      </w:r>
    </w:p>
    <w:p w14:paraId="162D9C70" w14:textId="77777777" w:rsidR="002F3C45" w:rsidRDefault="002F3C45" w:rsidP="002F3C45">
      <w:pPr>
        <w:pBdr>
          <w:top w:val="nil"/>
          <w:left w:val="nil"/>
          <w:bottom w:val="nil"/>
          <w:right w:val="nil"/>
          <w:between w:val="nil"/>
        </w:pBdr>
        <w:spacing w:line="276" w:lineRule="auto"/>
        <w:ind w:left="462" w:firstLine="720"/>
        <w:jc w:val="both"/>
        <w:rPr>
          <w:color w:val="000000"/>
          <w:sz w:val="24"/>
          <w:szCs w:val="24"/>
        </w:rPr>
      </w:pPr>
    </w:p>
    <w:p w14:paraId="6ED72E88" w14:textId="77777777" w:rsidR="002F3C45" w:rsidRDefault="002F3C45" w:rsidP="002F3C45">
      <w:pPr>
        <w:pBdr>
          <w:top w:val="nil"/>
          <w:left w:val="nil"/>
          <w:bottom w:val="nil"/>
          <w:right w:val="nil"/>
          <w:between w:val="nil"/>
        </w:pBdr>
        <w:spacing w:line="276" w:lineRule="auto"/>
        <w:ind w:left="462" w:firstLine="720"/>
        <w:jc w:val="both"/>
        <w:rPr>
          <w:color w:val="000000"/>
          <w:sz w:val="24"/>
          <w:szCs w:val="24"/>
        </w:rPr>
      </w:pPr>
    </w:p>
    <w:p w14:paraId="5020F9F0" w14:textId="77777777" w:rsidR="002F3C45" w:rsidRDefault="002F3C45" w:rsidP="002F3C45">
      <w:pPr>
        <w:pBdr>
          <w:top w:val="nil"/>
          <w:left w:val="nil"/>
          <w:bottom w:val="nil"/>
          <w:right w:val="nil"/>
          <w:between w:val="nil"/>
        </w:pBdr>
        <w:spacing w:line="276" w:lineRule="auto"/>
        <w:ind w:left="462" w:firstLine="720"/>
        <w:jc w:val="both"/>
        <w:rPr>
          <w:color w:val="000000"/>
          <w:sz w:val="24"/>
          <w:szCs w:val="24"/>
        </w:rPr>
      </w:pPr>
    </w:p>
    <w:p w14:paraId="1C2140A2" w14:textId="77777777" w:rsidR="002F3C45" w:rsidRDefault="002F3C45" w:rsidP="002F3C45">
      <w:pPr>
        <w:pBdr>
          <w:top w:val="nil"/>
          <w:left w:val="nil"/>
          <w:bottom w:val="nil"/>
          <w:right w:val="nil"/>
          <w:between w:val="nil"/>
        </w:pBdr>
        <w:spacing w:line="276" w:lineRule="auto"/>
        <w:ind w:left="462" w:firstLine="720"/>
        <w:jc w:val="both"/>
        <w:rPr>
          <w:color w:val="000000"/>
          <w:sz w:val="24"/>
          <w:szCs w:val="24"/>
        </w:rPr>
      </w:pPr>
    </w:p>
    <w:p w14:paraId="42B95587" w14:textId="77777777" w:rsidR="002F3C45" w:rsidRDefault="002F3C45" w:rsidP="002F3C45">
      <w:pPr>
        <w:pBdr>
          <w:top w:val="nil"/>
          <w:left w:val="nil"/>
          <w:bottom w:val="nil"/>
          <w:right w:val="nil"/>
          <w:between w:val="nil"/>
        </w:pBdr>
        <w:spacing w:line="276" w:lineRule="auto"/>
        <w:ind w:left="462" w:firstLine="720"/>
        <w:jc w:val="both"/>
        <w:rPr>
          <w:color w:val="000000"/>
          <w:sz w:val="24"/>
          <w:szCs w:val="24"/>
        </w:rPr>
      </w:pPr>
    </w:p>
    <w:p w14:paraId="5B12EB3E" w14:textId="77777777" w:rsidR="002F3C45" w:rsidRDefault="002F3C45" w:rsidP="002F3C45">
      <w:pPr>
        <w:pBdr>
          <w:top w:val="nil"/>
          <w:left w:val="nil"/>
          <w:bottom w:val="nil"/>
          <w:right w:val="nil"/>
          <w:between w:val="nil"/>
        </w:pBdr>
        <w:spacing w:line="276" w:lineRule="auto"/>
        <w:ind w:left="462" w:firstLine="720"/>
        <w:jc w:val="both"/>
        <w:rPr>
          <w:color w:val="000000"/>
          <w:sz w:val="24"/>
          <w:szCs w:val="24"/>
        </w:rPr>
      </w:pPr>
    </w:p>
    <w:p w14:paraId="7FD78322" w14:textId="77777777" w:rsidR="00ED06C0" w:rsidRDefault="00ED06C0" w:rsidP="002F3C45">
      <w:pPr>
        <w:pBdr>
          <w:top w:val="nil"/>
          <w:left w:val="nil"/>
          <w:bottom w:val="nil"/>
          <w:right w:val="nil"/>
          <w:between w:val="nil"/>
        </w:pBdr>
        <w:spacing w:line="276" w:lineRule="auto"/>
        <w:ind w:left="462" w:firstLine="720"/>
        <w:jc w:val="both"/>
        <w:rPr>
          <w:color w:val="000000"/>
          <w:sz w:val="24"/>
          <w:szCs w:val="24"/>
        </w:rPr>
      </w:pPr>
    </w:p>
    <w:p w14:paraId="09CEB8D9" w14:textId="77777777" w:rsidR="002F3C45" w:rsidRDefault="002F3C45" w:rsidP="002F3C45">
      <w:pPr>
        <w:pBdr>
          <w:top w:val="nil"/>
          <w:left w:val="nil"/>
          <w:bottom w:val="nil"/>
          <w:right w:val="nil"/>
          <w:between w:val="nil"/>
        </w:pBdr>
        <w:spacing w:line="276" w:lineRule="auto"/>
        <w:ind w:left="462" w:firstLine="720"/>
        <w:jc w:val="both"/>
        <w:rPr>
          <w:color w:val="000000"/>
          <w:sz w:val="24"/>
          <w:szCs w:val="24"/>
        </w:rPr>
      </w:pPr>
    </w:p>
    <w:p w14:paraId="5A961C4C" w14:textId="77777777" w:rsidR="002F3C45" w:rsidRDefault="002F3C45" w:rsidP="002F3C45">
      <w:pPr>
        <w:pBdr>
          <w:top w:val="nil"/>
          <w:left w:val="nil"/>
          <w:bottom w:val="nil"/>
          <w:right w:val="nil"/>
          <w:between w:val="nil"/>
        </w:pBdr>
        <w:spacing w:line="276" w:lineRule="auto"/>
        <w:ind w:left="462" w:firstLine="720"/>
        <w:jc w:val="both"/>
        <w:rPr>
          <w:color w:val="000000"/>
          <w:sz w:val="24"/>
          <w:szCs w:val="24"/>
        </w:rPr>
      </w:pPr>
    </w:p>
    <w:p w14:paraId="6AD998BD"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2A92B5B8"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3BD59C1E"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12EE806D"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375DDC6F"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3DD31EFB"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443A7DBF"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26AD4196"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7824C150"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1B5CDF21"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0022E5E9"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45E9CE34" w14:textId="77777777" w:rsidR="001C0B9B" w:rsidRDefault="001C0B9B" w:rsidP="002F3C45">
      <w:pPr>
        <w:pBdr>
          <w:top w:val="nil"/>
          <w:left w:val="nil"/>
          <w:bottom w:val="nil"/>
          <w:right w:val="nil"/>
          <w:between w:val="nil"/>
        </w:pBdr>
        <w:spacing w:line="276" w:lineRule="auto"/>
        <w:ind w:left="462" w:firstLine="720"/>
        <w:jc w:val="both"/>
        <w:rPr>
          <w:color w:val="000000"/>
          <w:sz w:val="24"/>
          <w:szCs w:val="24"/>
        </w:rPr>
      </w:pPr>
    </w:p>
    <w:p w14:paraId="602677E2" w14:textId="77777777" w:rsidR="009B5698" w:rsidRDefault="009B5698" w:rsidP="002F3C45">
      <w:pPr>
        <w:pBdr>
          <w:top w:val="nil"/>
          <w:left w:val="nil"/>
          <w:bottom w:val="nil"/>
          <w:right w:val="nil"/>
          <w:between w:val="nil"/>
        </w:pBdr>
        <w:spacing w:line="276" w:lineRule="auto"/>
        <w:ind w:left="462" w:firstLine="720"/>
        <w:jc w:val="both"/>
        <w:rPr>
          <w:color w:val="000000"/>
          <w:sz w:val="24"/>
          <w:szCs w:val="24"/>
        </w:rPr>
      </w:pPr>
    </w:p>
    <w:p w14:paraId="3ED1F99C" w14:textId="77777777" w:rsidR="009B5698" w:rsidRDefault="009B5698" w:rsidP="002F3C45">
      <w:pPr>
        <w:pBdr>
          <w:top w:val="nil"/>
          <w:left w:val="nil"/>
          <w:bottom w:val="nil"/>
          <w:right w:val="nil"/>
          <w:between w:val="nil"/>
        </w:pBdr>
        <w:spacing w:line="276" w:lineRule="auto"/>
        <w:ind w:left="462" w:firstLine="720"/>
        <w:jc w:val="both"/>
        <w:rPr>
          <w:color w:val="000000"/>
          <w:sz w:val="24"/>
          <w:szCs w:val="24"/>
        </w:rPr>
      </w:pPr>
    </w:p>
    <w:p w14:paraId="1861ADB7" w14:textId="77777777" w:rsidR="009B5698" w:rsidRDefault="009B5698" w:rsidP="002F3C45">
      <w:pPr>
        <w:pBdr>
          <w:top w:val="nil"/>
          <w:left w:val="nil"/>
          <w:bottom w:val="nil"/>
          <w:right w:val="nil"/>
          <w:between w:val="nil"/>
        </w:pBdr>
        <w:spacing w:line="276" w:lineRule="auto"/>
        <w:ind w:left="462" w:firstLine="720"/>
        <w:jc w:val="both"/>
        <w:rPr>
          <w:color w:val="000000"/>
          <w:sz w:val="24"/>
          <w:szCs w:val="24"/>
        </w:rPr>
      </w:pPr>
    </w:p>
    <w:p w14:paraId="7652095D" w14:textId="77777777" w:rsidR="009B5698" w:rsidRDefault="009B5698" w:rsidP="002F3C45">
      <w:pPr>
        <w:pBdr>
          <w:top w:val="nil"/>
          <w:left w:val="nil"/>
          <w:bottom w:val="nil"/>
          <w:right w:val="nil"/>
          <w:between w:val="nil"/>
        </w:pBdr>
        <w:spacing w:line="276" w:lineRule="auto"/>
        <w:ind w:left="462" w:firstLine="720"/>
        <w:jc w:val="both"/>
        <w:rPr>
          <w:color w:val="000000"/>
          <w:sz w:val="24"/>
          <w:szCs w:val="24"/>
        </w:rPr>
      </w:pPr>
    </w:p>
    <w:p w14:paraId="443E245A" w14:textId="77777777" w:rsidR="009B5698" w:rsidRPr="00157FA7" w:rsidRDefault="009B5698" w:rsidP="002F3C45">
      <w:pPr>
        <w:pBdr>
          <w:top w:val="nil"/>
          <w:left w:val="nil"/>
          <w:bottom w:val="nil"/>
          <w:right w:val="nil"/>
          <w:between w:val="nil"/>
        </w:pBdr>
        <w:spacing w:line="276" w:lineRule="auto"/>
        <w:ind w:left="462" w:firstLine="720"/>
        <w:jc w:val="both"/>
        <w:rPr>
          <w:color w:val="000000"/>
          <w:sz w:val="24"/>
          <w:szCs w:val="24"/>
        </w:rPr>
      </w:pPr>
    </w:p>
    <w:p w14:paraId="4BC863AE" w14:textId="77777777" w:rsidR="00157FA7" w:rsidRDefault="00157FA7" w:rsidP="00157FA7">
      <w:pPr>
        <w:pBdr>
          <w:top w:val="nil"/>
          <w:left w:val="nil"/>
          <w:bottom w:val="nil"/>
          <w:right w:val="nil"/>
          <w:between w:val="nil"/>
        </w:pBdr>
        <w:spacing w:before="10"/>
        <w:rPr>
          <w:color w:val="000000"/>
        </w:rPr>
      </w:pPr>
    </w:p>
    <w:p w14:paraId="61A4DC68" w14:textId="77777777" w:rsidR="00BC54D9" w:rsidRDefault="00C510CC">
      <w:pPr>
        <w:pStyle w:val="Heading1"/>
        <w:spacing w:line="320" w:lineRule="auto"/>
        <w:ind w:left="4033" w:right="3768"/>
        <w:jc w:val="center"/>
      </w:pPr>
      <w:r>
        <w:t>References</w:t>
      </w:r>
    </w:p>
    <w:p w14:paraId="3E8DD108" w14:textId="77777777" w:rsidR="001C0B9B" w:rsidRPr="001C0B9B" w:rsidRDefault="001C0B9B" w:rsidP="001C0B9B">
      <w:pPr>
        <w:pStyle w:val="Bibliography"/>
        <w:spacing w:line="240" w:lineRule="auto"/>
        <w:ind w:left="993" w:hanging="633"/>
        <w:jc w:val="both"/>
        <w:rPr>
          <w:sz w:val="24"/>
        </w:rPr>
      </w:pPr>
      <w:r>
        <w:rPr>
          <w:sz w:val="24"/>
          <w:szCs w:val="24"/>
        </w:rPr>
        <w:fldChar w:fldCharType="begin"/>
      </w:r>
      <w:r>
        <w:rPr>
          <w:sz w:val="24"/>
          <w:szCs w:val="24"/>
        </w:rPr>
        <w:instrText xml:space="preserve"> ADDIN ZOTERO_BIBL {"uncited":[],"omitted":[],"custom":[]} CSL_BIBLIOGRAPHY </w:instrText>
      </w:r>
      <w:r>
        <w:rPr>
          <w:sz w:val="24"/>
          <w:szCs w:val="24"/>
        </w:rPr>
        <w:fldChar w:fldCharType="separate"/>
      </w:r>
      <w:r w:rsidRPr="001C0B9B">
        <w:rPr>
          <w:sz w:val="24"/>
        </w:rPr>
        <w:t xml:space="preserve">Abbas, A., &amp; Lodan, K. T. (2020). Peran Pengawasan Ombudsman Dalam Penyelenggaraan Pelayanan Publik. </w:t>
      </w:r>
      <w:r w:rsidRPr="001C0B9B">
        <w:rPr>
          <w:i/>
          <w:iCs/>
          <w:sz w:val="24"/>
        </w:rPr>
        <w:t>Dialektika Publik</w:t>
      </w:r>
      <w:r w:rsidRPr="001C0B9B">
        <w:rPr>
          <w:sz w:val="24"/>
        </w:rPr>
        <w:t xml:space="preserve">, </w:t>
      </w:r>
      <w:r w:rsidRPr="001C0B9B">
        <w:rPr>
          <w:i/>
          <w:iCs/>
          <w:sz w:val="24"/>
        </w:rPr>
        <w:t>5</w:t>
      </w:r>
      <w:r w:rsidRPr="001C0B9B">
        <w:rPr>
          <w:sz w:val="24"/>
        </w:rPr>
        <w:t>(1), Article 1. https://doi.org/10.33884/dialektikapublik.v5i1.2414</w:t>
      </w:r>
    </w:p>
    <w:p w14:paraId="61990728" w14:textId="77777777" w:rsidR="001C0B9B" w:rsidRPr="001C0B9B" w:rsidRDefault="001C0B9B" w:rsidP="001C0B9B">
      <w:pPr>
        <w:pStyle w:val="Bibliography"/>
        <w:spacing w:line="240" w:lineRule="auto"/>
        <w:ind w:left="993" w:hanging="633"/>
        <w:jc w:val="both"/>
        <w:rPr>
          <w:sz w:val="24"/>
        </w:rPr>
      </w:pPr>
      <w:r w:rsidRPr="001C0B9B">
        <w:rPr>
          <w:sz w:val="24"/>
        </w:rPr>
        <w:t xml:space="preserve">Amirudin &amp; Zainal Asikin. (2004). </w:t>
      </w:r>
      <w:r w:rsidRPr="001C0B9B">
        <w:rPr>
          <w:i/>
          <w:iCs/>
          <w:sz w:val="24"/>
        </w:rPr>
        <w:t>Pengantar Metode Penelitian Hukum</w:t>
      </w:r>
      <w:r w:rsidRPr="001C0B9B">
        <w:rPr>
          <w:sz w:val="24"/>
        </w:rPr>
        <w:t>. Radja Grafindo.</w:t>
      </w:r>
    </w:p>
    <w:p w14:paraId="46B46EE9" w14:textId="77777777" w:rsidR="001C0B9B" w:rsidRPr="001C0B9B" w:rsidRDefault="001C0B9B" w:rsidP="001C0B9B">
      <w:pPr>
        <w:pStyle w:val="Bibliography"/>
        <w:spacing w:line="240" w:lineRule="auto"/>
        <w:ind w:left="993" w:hanging="633"/>
        <w:jc w:val="both"/>
        <w:rPr>
          <w:sz w:val="24"/>
        </w:rPr>
      </w:pPr>
      <w:r w:rsidRPr="001C0B9B">
        <w:rPr>
          <w:sz w:val="24"/>
        </w:rPr>
        <w:t xml:space="preserve">antaranews.com. (2021, October 21). </w:t>
      </w:r>
      <w:r w:rsidRPr="001C0B9B">
        <w:rPr>
          <w:i/>
          <w:iCs/>
          <w:sz w:val="24"/>
        </w:rPr>
        <w:t>Ombudsman: Ketidakpatuhan terhadap rekomendasi perlu mendapat sanksi</w:t>
      </w:r>
      <w:r w:rsidRPr="001C0B9B">
        <w:rPr>
          <w:sz w:val="24"/>
        </w:rPr>
        <w:t>. Antara News. https://www.antaranews.com/berita/2472825/ombudsman-ketidakpatuhan-terhadap-rekomendasi-perlu-mendapat-sanksi</w:t>
      </w:r>
    </w:p>
    <w:p w14:paraId="130FB145" w14:textId="77777777" w:rsidR="001C0B9B" w:rsidRPr="001C0B9B" w:rsidRDefault="001C0B9B" w:rsidP="001C0B9B">
      <w:pPr>
        <w:pStyle w:val="Bibliography"/>
        <w:spacing w:line="240" w:lineRule="auto"/>
        <w:ind w:left="993" w:hanging="633"/>
        <w:jc w:val="both"/>
        <w:rPr>
          <w:sz w:val="24"/>
        </w:rPr>
      </w:pPr>
      <w:r w:rsidRPr="001C0B9B">
        <w:rPr>
          <w:sz w:val="24"/>
        </w:rPr>
        <w:t xml:space="preserve">Asmara, G. (2005). </w:t>
      </w:r>
      <w:r w:rsidRPr="001C0B9B">
        <w:rPr>
          <w:i/>
          <w:iCs/>
          <w:sz w:val="24"/>
        </w:rPr>
        <w:t>Ombudsman Nasional; Dalam Sistem Pemerintahan Negara Republik Indonesia</w:t>
      </w:r>
      <w:r w:rsidRPr="001C0B9B">
        <w:rPr>
          <w:sz w:val="24"/>
        </w:rPr>
        <w:t>. Laksbang.</w:t>
      </w:r>
    </w:p>
    <w:p w14:paraId="5C1068A0" w14:textId="77777777" w:rsidR="001C0B9B" w:rsidRPr="001C0B9B" w:rsidRDefault="001C0B9B" w:rsidP="001C0B9B">
      <w:pPr>
        <w:pStyle w:val="Bibliography"/>
        <w:spacing w:line="240" w:lineRule="auto"/>
        <w:ind w:left="993" w:hanging="633"/>
        <w:jc w:val="both"/>
        <w:rPr>
          <w:sz w:val="24"/>
        </w:rPr>
      </w:pPr>
      <w:r w:rsidRPr="001C0B9B">
        <w:rPr>
          <w:sz w:val="24"/>
        </w:rPr>
        <w:t xml:space="preserve">Asshiddiqie, D. J. (2011). GAGASAN NEGARA HUKUM INDONESIA. </w:t>
      </w:r>
      <w:r w:rsidRPr="001C0B9B">
        <w:rPr>
          <w:i/>
          <w:iCs/>
          <w:sz w:val="24"/>
        </w:rPr>
        <w:t>Forum Dialog Perencanaan Pembangunan Hukum Nasional</w:t>
      </w:r>
      <w:r w:rsidRPr="001C0B9B">
        <w:rPr>
          <w:sz w:val="24"/>
        </w:rPr>
        <w:t>. Forum Dialog Perencanaan Pembangunan Hukum Nasional, Jakarta.</w:t>
      </w:r>
    </w:p>
    <w:p w14:paraId="7C8AA3AE" w14:textId="77777777" w:rsidR="001C0B9B" w:rsidRPr="001C0B9B" w:rsidRDefault="001C0B9B" w:rsidP="001C0B9B">
      <w:pPr>
        <w:pStyle w:val="Bibliography"/>
        <w:spacing w:line="240" w:lineRule="auto"/>
        <w:ind w:left="993" w:hanging="633"/>
        <w:jc w:val="both"/>
        <w:rPr>
          <w:sz w:val="24"/>
        </w:rPr>
      </w:pPr>
      <w:r w:rsidRPr="001C0B9B">
        <w:rPr>
          <w:sz w:val="24"/>
        </w:rPr>
        <w:t xml:space="preserve">Bate’e, M. M., &amp; Gea, N. E. (2018). Efektivitas Fungsi Pengawasan Dalam Pendistribusian Raskin Di Desa Tetehosi I Kecamatan Gunungsitoli Idanoi. </w:t>
      </w:r>
      <w:r w:rsidRPr="001C0B9B">
        <w:rPr>
          <w:i/>
          <w:iCs/>
          <w:sz w:val="24"/>
        </w:rPr>
        <w:t>Jesya (Jurnal Ekonomi Dan Ekonomi Syariah)</w:t>
      </w:r>
      <w:r w:rsidRPr="001C0B9B">
        <w:rPr>
          <w:sz w:val="24"/>
        </w:rPr>
        <w:t xml:space="preserve">, </w:t>
      </w:r>
      <w:r w:rsidRPr="001C0B9B">
        <w:rPr>
          <w:i/>
          <w:iCs/>
          <w:sz w:val="24"/>
        </w:rPr>
        <w:t>1</w:t>
      </w:r>
      <w:r w:rsidRPr="001C0B9B">
        <w:rPr>
          <w:sz w:val="24"/>
        </w:rPr>
        <w:t>(2), Article 2. https://doi.org/10.36778/jesya.v1i2.22</w:t>
      </w:r>
    </w:p>
    <w:p w14:paraId="6DB63714" w14:textId="77777777" w:rsidR="001C0B9B" w:rsidRPr="001C0B9B" w:rsidRDefault="001C0B9B" w:rsidP="001C0B9B">
      <w:pPr>
        <w:pStyle w:val="Bibliography"/>
        <w:spacing w:line="240" w:lineRule="auto"/>
        <w:ind w:left="993" w:hanging="633"/>
        <w:jc w:val="both"/>
        <w:rPr>
          <w:sz w:val="24"/>
        </w:rPr>
      </w:pPr>
      <w:r w:rsidRPr="001C0B9B">
        <w:rPr>
          <w:sz w:val="24"/>
        </w:rPr>
        <w:t xml:space="preserve">Bingham, T. (2011). </w:t>
      </w:r>
      <w:r w:rsidRPr="001C0B9B">
        <w:rPr>
          <w:i/>
          <w:iCs/>
          <w:sz w:val="24"/>
        </w:rPr>
        <w:t>The Rule of Law</w:t>
      </w:r>
      <w:r w:rsidRPr="001C0B9B">
        <w:rPr>
          <w:sz w:val="24"/>
        </w:rPr>
        <w:t>. Penguin UK.</w:t>
      </w:r>
    </w:p>
    <w:p w14:paraId="026BF7A0" w14:textId="77777777" w:rsidR="001C0B9B" w:rsidRPr="001C0B9B" w:rsidRDefault="001C0B9B" w:rsidP="001C0B9B">
      <w:pPr>
        <w:pStyle w:val="Bibliography"/>
        <w:spacing w:line="240" w:lineRule="auto"/>
        <w:ind w:left="993" w:hanging="633"/>
        <w:jc w:val="both"/>
        <w:rPr>
          <w:sz w:val="24"/>
        </w:rPr>
      </w:pPr>
      <w:r w:rsidRPr="001C0B9B">
        <w:rPr>
          <w:sz w:val="24"/>
        </w:rPr>
        <w:t xml:space="preserve">Budhi, M. (2005). </w:t>
      </w:r>
      <w:r w:rsidRPr="001C0B9B">
        <w:rPr>
          <w:i/>
          <w:iCs/>
          <w:sz w:val="24"/>
        </w:rPr>
        <w:t>Mengenal Ombudsman Republik Indonesia Indonesia</w:t>
      </w:r>
      <w:r w:rsidRPr="001C0B9B">
        <w:rPr>
          <w:sz w:val="24"/>
        </w:rPr>
        <w:t>. PT. Pradnya Paramita.</w:t>
      </w:r>
    </w:p>
    <w:p w14:paraId="03076442" w14:textId="77777777" w:rsidR="001C0B9B" w:rsidRPr="001C0B9B" w:rsidRDefault="001C0B9B" w:rsidP="001C0B9B">
      <w:pPr>
        <w:pStyle w:val="Bibliography"/>
        <w:spacing w:line="240" w:lineRule="auto"/>
        <w:ind w:left="993" w:hanging="633"/>
        <w:jc w:val="both"/>
        <w:rPr>
          <w:sz w:val="24"/>
        </w:rPr>
      </w:pPr>
      <w:r w:rsidRPr="001C0B9B">
        <w:rPr>
          <w:sz w:val="24"/>
        </w:rPr>
        <w:t xml:space="preserve">DA, A. T. (2023). </w:t>
      </w:r>
      <w:r w:rsidRPr="001C0B9B">
        <w:rPr>
          <w:i/>
          <w:iCs/>
          <w:sz w:val="24"/>
        </w:rPr>
        <w:t>Kewenangan Ombudsman Perlu Diperkuat Melalui Revisi UU</w:t>
      </w:r>
      <w:r w:rsidRPr="001C0B9B">
        <w:rPr>
          <w:sz w:val="24"/>
        </w:rPr>
        <w:t>. hukumonline.com. https://www.hukumonline.com/berita/a/kewenangan-ombudsman-perlu-diperkuat-melalui-revisi-uu-lt642e365f3915d/</w:t>
      </w:r>
    </w:p>
    <w:p w14:paraId="4D9DF51F" w14:textId="77777777" w:rsidR="001C0B9B" w:rsidRPr="001C0B9B" w:rsidRDefault="001C0B9B" w:rsidP="001C0B9B">
      <w:pPr>
        <w:pStyle w:val="Bibliography"/>
        <w:spacing w:line="240" w:lineRule="auto"/>
        <w:ind w:left="993" w:hanging="633"/>
        <w:jc w:val="both"/>
        <w:rPr>
          <w:sz w:val="24"/>
        </w:rPr>
      </w:pPr>
      <w:r w:rsidRPr="001C0B9B">
        <w:rPr>
          <w:sz w:val="24"/>
        </w:rPr>
        <w:t xml:space="preserve">Desiana, A. (2013). Analisis Konsep Pengawasan Ombudsman terhadap Penyelenggaraan Pelayanan Publik. </w:t>
      </w:r>
      <w:r w:rsidRPr="001C0B9B">
        <w:rPr>
          <w:i/>
          <w:iCs/>
          <w:sz w:val="24"/>
        </w:rPr>
        <w:t>INOVATIF | Jurnal Ilmu Hukum</w:t>
      </w:r>
      <w:r w:rsidRPr="001C0B9B">
        <w:rPr>
          <w:sz w:val="24"/>
        </w:rPr>
        <w:t xml:space="preserve">, </w:t>
      </w:r>
      <w:r w:rsidRPr="001C0B9B">
        <w:rPr>
          <w:i/>
          <w:iCs/>
          <w:sz w:val="24"/>
        </w:rPr>
        <w:t>6</w:t>
      </w:r>
      <w:r w:rsidRPr="001C0B9B">
        <w:rPr>
          <w:sz w:val="24"/>
        </w:rPr>
        <w:t>(2), Article 2. https://mail.online-journal.unja.ac.id/jimih/article/view/2125</w:t>
      </w:r>
    </w:p>
    <w:p w14:paraId="3FD17921" w14:textId="77777777" w:rsidR="001C0B9B" w:rsidRPr="001C0B9B" w:rsidRDefault="001C0B9B" w:rsidP="001C0B9B">
      <w:pPr>
        <w:pStyle w:val="Bibliography"/>
        <w:spacing w:line="240" w:lineRule="auto"/>
        <w:ind w:left="993" w:hanging="633"/>
        <w:jc w:val="both"/>
        <w:rPr>
          <w:sz w:val="24"/>
        </w:rPr>
      </w:pPr>
      <w:r w:rsidRPr="001C0B9B">
        <w:rPr>
          <w:sz w:val="24"/>
        </w:rPr>
        <w:t xml:space="preserve">Djadjuli, D. (2018). PELAKSANAAN PENGAWASAN OLEH PIMPINAN DALAM MENINGKATKAN KINERJA PEGAWAI. </w:t>
      </w:r>
      <w:r w:rsidRPr="001C0B9B">
        <w:rPr>
          <w:i/>
          <w:iCs/>
          <w:sz w:val="24"/>
        </w:rPr>
        <w:t>Dinamika : Jurnal Ilmiah Ilmu Administrasi Negara</w:t>
      </w:r>
      <w:r w:rsidRPr="001C0B9B">
        <w:rPr>
          <w:sz w:val="24"/>
        </w:rPr>
        <w:t xml:space="preserve">, </w:t>
      </w:r>
      <w:r w:rsidRPr="001C0B9B">
        <w:rPr>
          <w:i/>
          <w:iCs/>
          <w:sz w:val="24"/>
        </w:rPr>
        <w:t>4</w:t>
      </w:r>
      <w:r w:rsidRPr="001C0B9B">
        <w:rPr>
          <w:sz w:val="24"/>
        </w:rPr>
        <w:t>(4), Article 4. https://doi.org/10.25157/dinamika.v4i4.879</w:t>
      </w:r>
    </w:p>
    <w:p w14:paraId="6220B523" w14:textId="77777777" w:rsidR="001C0B9B" w:rsidRPr="001C0B9B" w:rsidRDefault="001C0B9B" w:rsidP="001C0B9B">
      <w:pPr>
        <w:pStyle w:val="Bibliography"/>
        <w:spacing w:line="240" w:lineRule="auto"/>
        <w:ind w:left="993" w:hanging="633"/>
        <w:jc w:val="both"/>
        <w:rPr>
          <w:sz w:val="24"/>
        </w:rPr>
      </w:pPr>
      <w:r w:rsidRPr="001C0B9B">
        <w:rPr>
          <w:sz w:val="24"/>
        </w:rPr>
        <w:t xml:space="preserve">Dr. Khoirul Huda, S. (2015). Kewenangan Ombusdman RI Dalam Menangani Tindakan Maladministrasi Oleh Penyelenggara Pemerintahan. </w:t>
      </w:r>
      <w:r w:rsidRPr="001C0B9B">
        <w:rPr>
          <w:i/>
          <w:iCs/>
          <w:sz w:val="24"/>
        </w:rPr>
        <w:t>JURNAL HERITAGE</w:t>
      </w:r>
      <w:r w:rsidRPr="001C0B9B">
        <w:rPr>
          <w:sz w:val="24"/>
        </w:rPr>
        <w:t xml:space="preserve">, </w:t>
      </w:r>
      <w:r w:rsidRPr="001C0B9B">
        <w:rPr>
          <w:i/>
          <w:iCs/>
          <w:sz w:val="24"/>
        </w:rPr>
        <w:t>3</w:t>
      </w:r>
      <w:r w:rsidRPr="001C0B9B">
        <w:rPr>
          <w:sz w:val="24"/>
        </w:rPr>
        <w:t>(1), Article 1. https://jurnal.yudharta.ac.id/v2/index.php/HERITAGE/article/view/818</w:t>
      </w:r>
    </w:p>
    <w:p w14:paraId="1BD1EADD" w14:textId="77777777" w:rsidR="001C0B9B" w:rsidRPr="001C0B9B" w:rsidRDefault="001C0B9B" w:rsidP="001C0B9B">
      <w:pPr>
        <w:pStyle w:val="Bibliography"/>
        <w:spacing w:line="240" w:lineRule="auto"/>
        <w:ind w:left="993" w:hanging="633"/>
        <w:jc w:val="both"/>
        <w:rPr>
          <w:sz w:val="24"/>
        </w:rPr>
      </w:pPr>
      <w:r w:rsidRPr="001C0B9B">
        <w:rPr>
          <w:sz w:val="24"/>
        </w:rPr>
        <w:t xml:space="preserve">Gafar, T. F., Octavia, S., Zamhasari, Suryaningsih, &amp; Wijaya5, M. (2022). PENGAWAS PENYELENGGARAAN URUSAN PEMERINTAHAN DAERAH (PPUPD) DALAM PENYELENGGARAAN URUSAN PEMERINTAHAN DI INDONESIA. </w:t>
      </w:r>
      <w:r w:rsidRPr="001C0B9B">
        <w:rPr>
          <w:i/>
          <w:iCs/>
          <w:sz w:val="24"/>
        </w:rPr>
        <w:t>Jurnal Pendidikan Dasar Dan Sosial Humaniora</w:t>
      </w:r>
      <w:r w:rsidRPr="001C0B9B">
        <w:rPr>
          <w:sz w:val="24"/>
        </w:rPr>
        <w:t xml:space="preserve">, </w:t>
      </w:r>
      <w:r w:rsidRPr="001C0B9B">
        <w:rPr>
          <w:i/>
          <w:iCs/>
          <w:sz w:val="24"/>
        </w:rPr>
        <w:t>1</w:t>
      </w:r>
      <w:r w:rsidRPr="001C0B9B">
        <w:rPr>
          <w:sz w:val="24"/>
        </w:rPr>
        <w:t>(3), Article 3. https://doi.org/10.53625/jpdsh.v1i3.1190</w:t>
      </w:r>
    </w:p>
    <w:p w14:paraId="5F2BF062" w14:textId="77777777" w:rsidR="001C0B9B" w:rsidRPr="001C0B9B" w:rsidRDefault="001C0B9B" w:rsidP="001C0B9B">
      <w:pPr>
        <w:pStyle w:val="Bibliography"/>
        <w:spacing w:line="240" w:lineRule="auto"/>
        <w:ind w:left="993" w:hanging="633"/>
        <w:jc w:val="both"/>
        <w:rPr>
          <w:sz w:val="24"/>
        </w:rPr>
      </w:pPr>
      <w:r w:rsidRPr="001C0B9B">
        <w:rPr>
          <w:sz w:val="24"/>
        </w:rPr>
        <w:t xml:space="preserve">Hasibuan, A. F. (2015). </w:t>
      </w:r>
      <w:r w:rsidRPr="001C0B9B">
        <w:rPr>
          <w:i/>
          <w:iCs/>
          <w:sz w:val="24"/>
        </w:rPr>
        <w:t>Peran Ombudsman Provinsi Sumatera Utara Dalam menindak Lanjuti Laporan Masyakat Atas dugaan Maladministrasi Penyelenggaraan pelayanan Publik Pada Kantor Ombudsman Provinsi Sumatera Utara</w:t>
      </w:r>
      <w:r w:rsidRPr="001C0B9B">
        <w:rPr>
          <w:sz w:val="24"/>
        </w:rPr>
        <w:t xml:space="preserve"> [Thesis, Universitas Medan Area]. https://repositori.uma.ac.id/handle/123456789/1473</w:t>
      </w:r>
    </w:p>
    <w:p w14:paraId="33B1C01C" w14:textId="77777777" w:rsidR="001C0B9B" w:rsidRPr="001C0B9B" w:rsidRDefault="001C0B9B" w:rsidP="001C0B9B">
      <w:pPr>
        <w:pStyle w:val="Bibliography"/>
        <w:spacing w:line="240" w:lineRule="auto"/>
        <w:ind w:left="993" w:hanging="633"/>
        <w:jc w:val="both"/>
        <w:rPr>
          <w:sz w:val="24"/>
        </w:rPr>
      </w:pPr>
      <w:r w:rsidRPr="001C0B9B">
        <w:rPr>
          <w:sz w:val="24"/>
        </w:rPr>
        <w:t xml:space="preserve">Ishaq. (2017). Metode Penelitian Hukum Dan Penulisan Skripsi, Tesis, Serta Disertasi. In </w:t>
      </w:r>
      <w:r w:rsidRPr="001C0B9B">
        <w:rPr>
          <w:i/>
          <w:iCs/>
          <w:sz w:val="24"/>
        </w:rPr>
        <w:t>ALFABETA, cv</w:t>
      </w:r>
      <w:r w:rsidRPr="001C0B9B">
        <w:rPr>
          <w:sz w:val="24"/>
        </w:rPr>
        <w:t>.</w:t>
      </w:r>
    </w:p>
    <w:p w14:paraId="4523CA36" w14:textId="77777777" w:rsidR="001C0B9B" w:rsidRPr="001C0B9B" w:rsidRDefault="001C0B9B" w:rsidP="001C0B9B">
      <w:pPr>
        <w:pStyle w:val="Bibliography"/>
        <w:spacing w:line="240" w:lineRule="auto"/>
        <w:ind w:left="993" w:hanging="633"/>
        <w:jc w:val="both"/>
        <w:rPr>
          <w:sz w:val="24"/>
        </w:rPr>
      </w:pPr>
      <w:r w:rsidRPr="001C0B9B">
        <w:rPr>
          <w:sz w:val="24"/>
        </w:rPr>
        <w:t xml:space="preserve">Jayanti, N. (2019). MEKANISME PENGAWASAN TERHADAP PRODUK HUKUM DALAM KONSTRUKSI POLITIK HUKUM. </w:t>
      </w:r>
      <w:r w:rsidRPr="001C0B9B">
        <w:rPr>
          <w:i/>
          <w:iCs/>
          <w:sz w:val="24"/>
        </w:rPr>
        <w:t>Jurnal Ilmu Hukum Tambun Bungai</w:t>
      </w:r>
      <w:r w:rsidRPr="001C0B9B">
        <w:rPr>
          <w:sz w:val="24"/>
        </w:rPr>
        <w:t xml:space="preserve">, </w:t>
      </w:r>
      <w:r w:rsidRPr="001C0B9B">
        <w:rPr>
          <w:i/>
          <w:iCs/>
          <w:sz w:val="24"/>
        </w:rPr>
        <w:t>4</w:t>
      </w:r>
      <w:r w:rsidRPr="001C0B9B">
        <w:rPr>
          <w:sz w:val="24"/>
        </w:rPr>
        <w:t>(2), Article 2. https://doi.org/10.61394/jihtb.v4i2.84</w:t>
      </w:r>
    </w:p>
    <w:p w14:paraId="091163DF" w14:textId="77777777" w:rsidR="001C0B9B" w:rsidRPr="001C0B9B" w:rsidRDefault="001C0B9B" w:rsidP="001C0B9B">
      <w:pPr>
        <w:pStyle w:val="Bibliography"/>
        <w:spacing w:line="240" w:lineRule="auto"/>
        <w:ind w:left="993" w:hanging="633"/>
        <w:jc w:val="both"/>
        <w:rPr>
          <w:sz w:val="24"/>
        </w:rPr>
      </w:pPr>
      <w:r w:rsidRPr="001C0B9B">
        <w:rPr>
          <w:sz w:val="24"/>
        </w:rPr>
        <w:t xml:space="preserve">Mahmud, P. M. (2016). </w:t>
      </w:r>
      <w:r w:rsidRPr="001C0B9B">
        <w:rPr>
          <w:i/>
          <w:iCs/>
          <w:sz w:val="24"/>
        </w:rPr>
        <w:t>Pengantar Ilmu Hukum Edisi Revisi</w:t>
      </w:r>
      <w:r w:rsidRPr="001C0B9B">
        <w:rPr>
          <w:sz w:val="24"/>
        </w:rPr>
        <w:t>. Kencana Prenada Media Group.</w:t>
      </w:r>
    </w:p>
    <w:p w14:paraId="7B3104DA" w14:textId="77777777" w:rsidR="001C0B9B" w:rsidRPr="001C0B9B" w:rsidRDefault="001C0B9B" w:rsidP="001C0B9B">
      <w:pPr>
        <w:pStyle w:val="Bibliography"/>
        <w:spacing w:line="240" w:lineRule="auto"/>
        <w:ind w:left="993" w:hanging="633"/>
        <w:jc w:val="both"/>
        <w:rPr>
          <w:sz w:val="24"/>
        </w:rPr>
      </w:pPr>
      <w:r w:rsidRPr="001C0B9B">
        <w:rPr>
          <w:sz w:val="24"/>
        </w:rPr>
        <w:t xml:space="preserve">Mandasari, S., Hanggara, R., &amp; Jiwantara, F. A. (2023). KONSEP MALADMINISTRASI DALAM TINDAK PIDANA KORUPSI. </w:t>
      </w:r>
      <w:r w:rsidRPr="001C0B9B">
        <w:rPr>
          <w:i/>
          <w:iCs/>
          <w:sz w:val="24"/>
        </w:rPr>
        <w:t>ARMADA : Jurnal Penelitian Multidisiplin</w:t>
      </w:r>
      <w:r w:rsidRPr="001C0B9B">
        <w:rPr>
          <w:sz w:val="24"/>
        </w:rPr>
        <w:t xml:space="preserve">, </w:t>
      </w:r>
      <w:r w:rsidRPr="001C0B9B">
        <w:rPr>
          <w:i/>
          <w:iCs/>
          <w:sz w:val="24"/>
        </w:rPr>
        <w:t>1</w:t>
      </w:r>
      <w:r w:rsidRPr="001C0B9B">
        <w:rPr>
          <w:sz w:val="24"/>
        </w:rPr>
        <w:t>(6), Article 6. https://doi.org/10.55681/armada.v1i6.614</w:t>
      </w:r>
    </w:p>
    <w:p w14:paraId="22940ACB" w14:textId="77777777" w:rsidR="001C0B9B" w:rsidRPr="001C0B9B" w:rsidRDefault="001C0B9B" w:rsidP="001C0B9B">
      <w:pPr>
        <w:pStyle w:val="Bibliography"/>
        <w:spacing w:line="240" w:lineRule="auto"/>
        <w:ind w:left="993" w:hanging="633"/>
        <w:jc w:val="both"/>
        <w:rPr>
          <w:sz w:val="24"/>
        </w:rPr>
      </w:pPr>
      <w:r w:rsidRPr="001C0B9B">
        <w:rPr>
          <w:sz w:val="24"/>
        </w:rPr>
        <w:t xml:space="preserve">Martitah. (2013). </w:t>
      </w:r>
      <w:r w:rsidRPr="001C0B9B">
        <w:rPr>
          <w:i/>
          <w:iCs/>
          <w:sz w:val="24"/>
        </w:rPr>
        <w:t>Mahkamah Konstitusi, dari negative legislature ke positive legislature?</w:t>
      </w:r>
      <w:r w:rsidRPr="001C0B9B">
        <w:rPr>
          <w:sz w:val="24"/>
        </w:rPr>
        <w:t xml:space="preserve"> Konstitusi Press.</w:t>
      </w:r>
    </w:p>
    <w:p w14:paraId="246EE14B" w14:textId="77777777" w:rsidR="001C0B9B" w:rsidRPr="001C0B9B" w:rsidRDefault="001C0B9B" w:rsidP="001C0B9B">
      <w:pPr>
        <w:pStyle w:val="Bibliography"/>
        <w:spacing w:line="240" w:lineRule="auto"/>
        <w:ind w:left="993" w:hanging="633"/>
        <w:jc w:val="both"/>
        <w:rPr>
          <w:sz w:val="24"/>
        </w:rPr>
      </w:pPr>
      <w:r w:rsidRPr="001C0B9B">
        <w:rPr>
          <w:sz w:val="24"/>
        </w:rPr>
        <w:t xml:space="preserve">Muhtar, M. H., &amp; Kasim, N. M. (2023). </w:t>
      </w:r>
      <w:r w:rsidRPr="001C0B9B">
        <w:rPr>
          <w:i/>
          <w:iCs/>
          <w:sz w:val="24"/>
        </w:rPr>
        <w:t>Peraturan Daerah Syariah dalam Sistem Hukum Indonesia</w:t>
      </w:r>
      <w:r w:rsidRPr="001C0B9B">
        <w:rPr>
          <w:sz w:val="24"/>
        </w:rPr>
        <w:t>. Eureka Media Aksara. https://repository.penerbiteureka.com/tr/publications/559654/</w:t>
      </w:r>
    </w:p>
    <w:p w14:paraId="4CC5C207" w14:textId="77777777" w:rsidR="001C0B9B" w:rsidRPr="001C0B9B" w:rsidRDefault="001C0B9B" w:rsidP="001C0B9B">
      <w:pPr>
        <w:pStyle w:val="Bibliography"/>
        <w:spacing w:line="240" w:lineRule="auto"/>
        <w:ind w:left="993" w:hanging="633"/>
        <w:jc w:val="both"/>
        <w:rPr>
          <w:sz w:val="24"/>
        </w:rPr>
      </w:pPr>
      <w:r w:rsidRPr="001C0B9B">
        <w:rPr>
          <w:sz w:val="24"/>
        </w:rPr>
        <w:t xml:space="preserve">Mustika, F. (2018). PERAN OMBUDSMAN DALAM PENYELENGGARAAN NEGARA YANG BERSIH DAN PELAYANAN PUBLIK YANG BAIK (KAJIAN DI PROVINSI SULAWESI UTARA). </w:t>
      </w:r>
      <w:r w:rsidRPr="001C0B9B">
        <w:rPr>
          <w:i/>
          <w:iCs/>
          <w:sz w:val="24"/>
        </w:rPr>
        <w:t>LEX ET SOCIETATIS</w:t>
      </w:r>
      <w:r w:rsidRPr="001C0B9B">
        <w:rPr>
          <w:sz w:val="24"/>
        </w:rPr>
        <w:t xml:space="preserve">, </w:t>
      </w:r>
      <w:r w:rsidRPr="001C0B9B">
        <w:rPr>
          <w:i/>
          <w:iCs/>
          <w:sz w:val="24"/>
        </w:rPr>
        <w:t>6</w:t>
      </w:r>
      <w:r w:rsidRPr="001C0B9B">
        <w:rPr>
          <w:sz w:val="24"/>
        </w:rPr>
        <w:t>(3), Article 3. https://doi.org/10.35796/les.v6i3.19572</w:t>
      </w:r>
    </w:p>
    <w:p w14:paraId="59B160D5" w14:textId="77777777" w:rsidR="001C0B9B" w:rsidRPr="001C0B9B" w:rsidRDefault="001C0B9B" w:rsidP="001C0B9B">
      <w:pPr>
        <w:pStyle w:val="Bibliography"/>
        <w:spacing w:line="240" w:lineRule="auto"/>
        <w:ind w:left="993" w:hanging="633"/>
        <w:jc w:val="both"/>
        <w:rPr>
          <w:sz w:val="24"/>
        </w:rPr>
      </w:pPr>
      <w:r w:rsidRPr="001C0B9B">
        <w:rPr>
          <w:sz w:val="24"/>
        </w:rPr>
        <w:t xml:space="preserve">Nuriyanto, N. (2019). Urgensi Pengaturan Lembaga Negara Khusus dalam Undang-Undang Dasar 1945. </w:t>
      </w:r>
      <w:r w:rsidRPr="001C0B9B">
        <w:rPr>
          <w:i/>
          <w:iCs/>
          <w:sz w:val="24"/>
        </w:rPr>
        <w:t>Jurnal Konstitusi</w:t>
      </w:r>
      <w:r w:rsidRPr="001C0B9B">
        <w:rPr>
          <w:sz w:val="24"/>
        </w:rPr>
        <w:t xml:space="preserve">, </w:t>
      </w:r>
      <w:r w:rsidRPr="001C0B9B">
        <w:rPr>
          <w:i/>
          <w:iCs/>
          <w:sz w:val="24"/>
        </w:rPr>
        <w:t>16</w:t>
      </w:r>
      <w:r w:rsidRPr="001C0B9B">
        <w:rPr>
          <w:sz w:val="24"/>
        </w:rPr>
        <w:t>(1), Article 1. https://doi.org/10.31078/jk1616</w:t>
      </w:r>
    </w:p>
    <w:p w14:paraId="04DCA080" w14:textId="77777777" w:rsidR="001C0B9B" w:rsidRPr="001C0B9B" w:rsidRDefault="001C0B9B" w:rsidP="001C0B9B">
      <w:pPr>
        <w:pStyle w:val="Bibliography"/>
        <w:spacing w:line="240" w:lineRule="auto"/>
        <w:ind w:left="993" w:hanging="633"/>
        <w:jc w:val="both"/>
        <w:rPr>
          <w:sz w:val="24"/>
        </w:rPr>
      </w:pPr>
      <w:r w:rsidRPr="001C0B9B">
        <w:rPr>
          <w:sz w:val="24"/>
        </w:rPr>
        <w:t xml:space="preserve">Nurtjahjo, H. (2016). Perbedaan Teoritis Antara Lembaga Penyelesaian Kasus Maladministrasi (Ombudsman) Dengan Lembaga Peradilan Administrasi (PTUN). </w:t>
      </w:r>
      <w:r w:rsidRPr="001C0B9B">
        <w:rPr>
          <w:i/>
          <w:iCs/>
          <w:sz w:val="24"/>
        </w:rPr>
        <w:t>Jurnal Hukum Dan Bisnis (Selisik)</w:t>
      </w:r>
      <w:r w:rsidRPr="001C0B9B">
        <w:rPr>
          <w:sz w:val="24"/>
        </w:rPr>
        <w:t xml:space="preserve">, </w:t>
      </w:r>
      <w:r w:rsidRPr="001C0B9B">
        <w:rPr>
          <w:i/>
          <w:iCs/>
          <w:sz w:val="24"/>
        </w:rPr>
        <w:t>2</w:t>
      </w:r>
      <w:r w:rsidRPr="001C0B9B">
        <w:rPr>
          <w:sz w:val="24"/>
        </w:rPr>
        <w:t>(2), Article 2. https://doi.org/10.35814/selisik.v2i2.646</w:t>
      </w:r>
    </w:p>
    <w:p w14:paraId="1F060F2A" w14:textId="77777777" w:rsidR="001C0B9B" w:rsidRPr="001C0B9B" w:rsidRDefault="001C0B9B" w:rsidP="001C0B9B">
      <w:pPr>
        <w:pStyle w:val="Bibliography"/>
        <w:spacing w:line="240" w:lineRule="auto"/>
        <w:ind w:left="993" w:hanging="633"/>
        <w:jc w:val="both"/>
        <w:rPr>
          <w:sz w:val="24"/>
        </w:rPr>
      </w:pPr>
      <w:r w:rsidRPr="001C0B9B">
        <w:rPr>
          <w:sz w:val="24"/>
        </w:rPr>
        <w:t xml:space="preserve">Nurtjahjo, H., Maturbongs, Y., &amp; Rachmitasari, D. I. (2013). </w:t>
      </w:r>
      <w:r w:rsidRPr="001C0B9B">
        <w:rPr>
          <w:i/>
          <w:iCs/>
          <w:sz w:val="24"/>
        </w:rPr>
        <w:t>MEMAHAMI MALADMINISTRASI</w:t>
      </w:r>
      <w:r w:rsidRPr="001C0B9B">
        <w:rPr>
          <w:sz w:val="24"/>
        </w:rPr>
        <w:t>. Ombudsman Republik Indonesia.</w:t>
      </w:r>
    </w:p>
    <w:p w14:paraId="46808EBB" w14:textId="77777777" w:rsidR="001C0B9B" w:rsidRPr="001C0B9B" w:rsidRDefault="001C0B9B" w:rsidP="001C0B9B">
      <w:pPr>
        <w:pStyle w:val="Bibliography"/>
        <w:spacing w:line="240" w:lineRule="auto"/>
        <w:ind w:left="993" w:hanging="633"/>
        <w:jc w:val="both"/>
        <w:rPr>
          <w:sz w:val="24"/>
        </w:rPr>
      </w:pPr>
      <w:r w:rsidRPr="001C0B9B">
        <w:rPr>
          <w:sz w:val="24"/>
        </w:rPr>
        <w:t xml:space="preserve">Philipus, H. M., Martosoewignjo, S. S., &amp; Basah, S. (1994). </w:t>
      </w:r>
      <w:r w:rsidRPr="001C0B9B">
        <w:rPr>
          <w:i/>
          <w:iCs/>
          <w:sz w:val="24"/>
        </w:rPr>
        <w:t>Pengantar Hukum Administrasi Indonesia</w:t>
      </w:r>
      <w:r w:rsidRPr="001C0B9B">
        <w:rPr>
          <w:sz w:val="24"/>
        </w:rPr>
        <w:t>. Gadjah Mada University Press, Yogyakarta.</w:t>
      </w:r>
    </w:p>
    <w:p w14:paraId="4CF078EB" w14:textId="77777777" w:rsidR="001C0B9B" w:rsidRPr="001C0B9B" w:rsidRDefault="001C0B9B" w:rsidP="001C0B9B">
      <w:pPr>
        <w:pStyle w:val="Bibliography"/>
        <w:spacing w:line="240" w:lineRule="auto"/>
        <w:ind w:left="993" w:hanging="633"/>
        <w:jc w:val="both"/>
        <w:rPr>
          <w:sz w:val="24"/>
        </w:rPr>
      </w:pPr>
      <w:r w:rsidRPr="001C0B9B">
        <w:rPr>
          <w:sz w:val="24"/>
        </w:rPr>
        <w:t xml:space="preserve">Rahmadanik, D. (2021). Pelaksanaan Pelayanan Administrasi Kependudukan di Dinas Kependudukan dan Pencatatan Sipil Kabupaten Sidoarjo di Era Pandemi Covid-19. </w:t>
      </w:r>
      <w:r w:rsidRPr="001C0B9B">
        <w:rPr>
          <w:i/>
          <w:iCs/>
          <w:sz w:val="24"/>
        </w:rPr>
        <w:t>Dinamika Governance : Jurnal Ilmu Administrasi Negara</w:t>
      </w:r>
      <w:r w:rsidRPr="001C0B9B">
        <w:rPr>
          <w:sz w:val="24"/>
        </w:rPr>
        <w:t xml:space="preserve">, </w:t>
      </w:r>
      <w:r w:rsidRPr="001C0B9B">
        <w:rPr>
          <w:i/>
          <w:iCs/>
          <w:sz w:val="24"/>
        </w:rPr>
        <w:t>11</w:t>
      </w:r>
      <w:r w:rsidRPr="001C0B9B">
        <w:rPr>
          <w:sz w:val="24"/>
        </w:rPr>
        <w:t>(1), Article 1. https://doi.org/10.33005/jdg.v11i1.2480</w:t>
      </w:r>
    </w:p>
    <w:p w14:paraId="405BB92C" w14:textId="77777777" w:rsidR="001C0B9B" w:rsidRPr="001C0B9B" w:rsidRDefault="001C0B9B" w:rsidP="001C0B9B">
      <w:pPr>
        <w:pStyle w:val="Bibliography"/>
        <w:spacing w:line="240" w:lineRule="auto"/>
        <w:ind w:left="993" w:hanging="633"/>
        <w:jc w:val="both"/>
        <w:rPr>
          <w:sz w:val="24"/>
        </w:rPr>
      </w:pPr>
      <w:r w:rsidRPr="001C0B9B">
        <w:rPr>
          <w:sz w:val="24"/>
        </w:rPr>
        <w:t xml:space="preserve">Sari, P. A., Kadir, A., &amp; Bara, B. M. B. (2019). Peranan Ombudsman Republik Indonesia Perwakilan Sumatera Utara Dalam Pengawasan Pelayanan Dinas Kependudukan dan Catatan Sipil Kota Medan. </w:t>
      </w:r>
      <w:r w:rsidRPr="001C0B9B">
        <w:rPr>
          <w:i/>
          <w:iCs/>
          <w:sz w:val="24"/>
        </w:rPr>
        <w:t>Jurnal Ilmu Pemerintahan, Administrasi Publik, Dan Ilmu Komunikasi (JIPIKOM)</w:t>
      </w:r>
      <w:r w:rsidRPr="001C0B9B">
        <w:rPr>
          <w:sz w:val="24"/>
        </w:rPr>
        <w:t xml:space="preserve">, </w:t>
      </w:r>
      <w:r w:rsidRPr="001C0B9B">
        <w:rPr>
          <w:i/>
          <w:iCs/>
          <w:sz w:val="24"/>
        </w:rPr>
        <w:t>1</w:t>
      </w:r>
      <w:r w:rsidRPr="001C0B9B">
        <w:rPr>
          <w:sz w:val="24"/>
        </w:rPr>
        <w:t>(1), Article 1. https://doi.org/10.31289/jipikom.v1i1.141</w:t>
      </w:r>
    </w:p>
    <w:p w14:paraId="19DB92BF" w14:textId="77777777" w:rsidR="001C0B9B" w:rsidRPr="001C0B9B" w:rsidRDefault="001C0B9B" w:rsidP="001C0B9B">
      <w:pPr>
        <w:pStyle w:val="Bibliography"/>
        <w:spacing w:line="240" w:lineRule="auto"/>
        <w:ind w:left="993" w:hanging="633"/>
        <w:jc w:val="both"/>
        <w:rPr>
          <w:sz w:val="24"/>
        </w:rPr>
      </w:pPr>
      <w:r w:rsidRPr="001C0B9B">
        <w:rPr>
          <w:sz w:val="24"/>
        </w:rPr>
        <w:t xml:space="preserve">Sebayang, R. A. B., &amp; Hartati, H. (2021). </w:t>
      </w:r>
      <w:r w:rsidRPr="001C0B9B">
        <w:rPr>
          <w:i/>
          <w:iCs/>
          <w:sz w:val="24"/>
        </w:rPr>
        <w:t>PERAN OMBUDSMAN SEBAGAI LEMBAGA PENGAWAS PELAYANAN PUBLIK DI INDONESIA</w:t>
      </w:r>
      <w:r w:rsidRPr="001C0B9B">
        <w:rPr>
          <w:sz w:val="24"/>
        </w:rPr>
        <w:t>. https://mail.online-journal.unja.ac.id/Mendapo/article/view/11428</w:t>
      </w:r>
    </w:p>
    <w:p w14:paraId="179960FC" w14:textId="77777777" w:rsidR="001C0B9B" w:rsidRPr="001C0B9B" w:rsidRDefault="001C0B9B" w:rsidP="001C0B9B">
      <w:pPr>
        <w:pStyle w:val="Bibliography"/>
        <w:spacing w:line="240" w:lineRule="auto"/>
        <w:ind w:left="993" w:hanging="633"/>
        <w:jc w:val="both"/>
        <w:rPr>
          <w:sz w:val="24"/>
        </w:rPr>
      </w:pPr>
      <w:r w:rsidRPr="001C0B9B">
        <w:rPr>
          <w:sz w:val="24"/>
        </w:rPr>
        <w:t xml:space="preserve">Septianingtiyas, D. A., &amp; Sulistyowati. (2020). ANALISIS PERAN OMBUDSMAN REPUBLIK INDONESIA PERIODE TAHUN 2016-2021 SEBAGAI PENGAWASAN PELAYANAN PUBLIK. </w:t>
      </w:r>
      <w:r w:rsidRPr="001C0B9B">
        <w:rPr>
          <w:i/>
          <w:iCs/>
          <w:sz w:val="24"/>
        </w:rPr>
        <w:t>Journal of Politic and Government Studies</w:t>
      </w:r>
      <w:r w:rsidRPr="001C0B9B">
        <w:rPr>
          <w:sz w:val="24"/>
        </w:rPr>
        <w:t xml:space="preserve">, </w:t>
      </w:r>
      <w:r w:rsidRPr="001C0B9B">
        <w:rPr>
          <w:i/>
          <w:iCs/>
          <w:sz w:val="24"/>
        </w:rPr>
        <w:t>10</w:t>
      </w:r>
      <w:r w:rsidRPr="001C0B9B">
        <w:rPr>
          <w:sz w:val="24"/>
        </w:rPr>
        <w:t>(1), Article 1. https://ejournal3.undip.ac.id/index.php/jpgs/article/view/29567</w:t>
      </w:r>
    </w:p>
    <w:p w14:paraId="722A74D7" w14:textId="77777777" w:rsidR="001C0B9B" w:rsidRPr="001C0B9B" w:rsidRDefault="001C0B9B" w:rsidP="001C0B9B">
      <w:pPr>
        <w:pStyle w:val="Bibliography"/>
        <w:spacing w:line="240" w:lineRule="auto"/>
        <w:ind w:left="993" w:hanging="633"/>
        <w:jc w:val="both"/>
        <w:rPr>
          <w:sz w:val="24"/>
        </w:rPr>
      </w:pPr>
      <w:r w:rsidRPr="001C0B9B">
        <w:rPr>
          <w:sz w:val="24"/>
        </w:rPr>
        <w:t xml:space="preserve">Setiawan, A. (2020). PELAKSANAAN FUNGSI REKOMENDASI OMBUDSMAN REPUBLIK INDONESIA TERHADAP KEPALA DAERAH. </w:t>
      </w:r>
      <w:r w:rsidRPr="001C0B9B">
        <w:rPr>
          <w:i/>
          <w:iCs/>
          <w:sz w:val="24"/>
        </w:rPr>
        <w:t>Veritas et Justitia</w:t>
      </w:r>
      <w:r w:rsidRPr="001C0B9B">
        <w:rPr>
          <w:sz w:val="24"/>
        </w:rPr>
        <w:t xml:space="preserve">, </w:t>
      </w:r>
      <w:r w:rsidRPr="001C0B9B">
        <w:rPr>
          <w:i/>
          <w:iCs/>
          <w:sz w:val="24"/>
        </w:rPr>
        <w:t>6</w:t>
      </w:r>
      <w:r w:rsidRPr="001C0B9B">
        <w:rPr>
          <w:sz w:val="24"/>
        </w:rPr>
        <w:t>(2), Article 2. https://doi.org/10.25123/vej.v6i2.3657</w:t>
      </w:r>
    </w:p>
    <w:p w14:paraId="61D15F61" w14:textId="77777777" w:rsidR="001C0B9B" w:rsidRPr="001C0B9B" w:rsidRDefault="001C0B9B" w:rsidP="001C0B9B">
      <w:pPr>
        <w:pStyle w:val="Bibliography"/>
        <w:spacing w:line="240" w:lineRule="auto"/>
        <w:ind w:left="993" w:hanging="633"/>
        <w:jc w:val="both"/>
        <w:rPr>
          <w:sz w:val="24"/>
        </w:rPr>
      </w:pPr>
      <w:r w:rsidRPr="001C0B9B">
        <w:rPr>
          <w:sz w:val="24"/>
        </w:rPr>
        <w:t xml:space="preserve">Soerjono Soekanto dan Sri Mamudji. (2007). Penelitian Hukum Normatif Suatu Tinjauan Umum. In </w:t>
      </w:r>
      <w:r w:rsidRPr="001C0B9B">
        <w:rPr>
          <w:i/>
          <w:iCs/>
          <w:sz w:val="24"/>
        </w:rPr>
        <w:t>Rajawali Pers, Jakarta</w:t>
      </w:r>
      <w:r w:rsidRPr="001C0B9B">
        <w:rPr>
          <w:sz w:val="24"/>
        </w:rPr>
        <w:t>.</w:t>
      </w:r>
    </w:p>
    <w:p w14:paraId="3844EF12" w14:textId="77777777" w:rsidR="001C0B9B" w:rsidRPr="001C0B9B" w:rsidRDefault="001C0B9B" w:rsidP="001C0B9B">
      <w:pPr>
        <w:pStyle w:val="Bibliography"/>
        <w:spacing w:line="240" w:lineRule="auto"/>
        <w:ind w:left="993" w:hanging="633"/>
        <w:jc w:val="both"/>
        <w:rPr>
          <w:sz w:val="24"/>
        </w:rPr>
      </w:pPr>
      <w:r w:rsidRPr="001C0B9B">
        <w:rPr>
          <w:sz w:val="24"/>
        </w:rPr>
        <w:t xml:space="preserve">Solechan, S. (2018). Memahami Peran Ombudsman Sebagai Badan Pengawas Penyelenggaraan Pelayanan Publik di Indonesia. </w:t>
      </w:r>
      <w:r w:rsidRPr="001C0B9B">
        <w:rPr>
          <w:i/>
          <w:iCs/>
          <w:sz w:val="24"/>
        </w:rPr>
        <w:t>Administrative Law and Governance Journal</w:t>
      </w:r>
      <w:r w:rsidRPr="001C0B9B">
        <w:rPr>
          <w:sz w:val="24"/>
        </w:rPr>
        <w:t xml:space="preserve">, </w:t>
      </w:r>
      <w:r w:rsidRPr="001C0B9B">
        <w:rPr>
          <w:i/>
          <w:iCs/>
          <w:sz w:val="24"/>
        </w:rPr>
        <w:t>1</w:t>
      </w:r>
      <w:r w:rsidRPr="001C0B9B">
        <w:rPr>
          <w:sz w:val="24"/>
        </w:rPr>
        <w:t>(1), 67–89. https://doi.org/10.14710/alj.v1i1.67-89</w:t>
      </w:r>
    </w:p>
    <w:p w14:paraId="47944F6B" w14:textId="77777777" w:rsidR="001C0B9B" w:rsidRPr="001C0B9B" w:rsidRDefault="001C0B9B" w:rsidP="001C0B9B">
      <w:pPr>
        <w:pStyle w:val="Bibliography"/>
        <w:spacing w:line="240" w:lineRule="auto"/>
        <w:ind w:left="993" w:hanging="633"/>
        <w:jc w:val="both"/>
        <w:rPr>
          <w:sz w:val="24"/>
        </w:rPr>
      </w:pPr>
      <w:r w:rsidRPr="001C0B9B">
        <w:rPr>
          <w:sz w:val="24"/>
        </w:rPr>
        <w:t xml:space="preserve">Sujata, A., &amp; Surachman, R. M. (2002). </w:t>
      </w:r>
      <w:r w:rsidRPr="001C0B9B">
        <w:rPr>
          <w:i/>
          <w:iCs/>
          <w:sz w:val="24"/>
        </w:rPr>
        <w:t>Ombudsman Indonesia di tengah ombudsman internasional: Sebuah antologi</w:t>
      </w:r>
      <w:r w:rsidRPr="001C0B9B">
        <w:rPr>
          <w:sz w:val="24"/>
        </w:rPr>
        <w:t>. No Title. https://cir.nii.ac.jp/crid/1130282272617030272</w:t>
      </w:r>
    </w:p>
    <w:p w14:paraId="1FB79975" w14:textId="77777777" w:rsidR="001C0B9B" w:rsidRPr="001C0B9B" w:rsidRDefault="001C0B9B" w:rsidP="001C0B9B">
      <w:pPr>
        <w:pStyle w:val="Bibliography"/>
        <w:spacing w:line="240" w:lineRule="auto"/>
        <w:ind w:left="993" w:hanging="633"/>
        <w:jc w:val="both"/>
        <w:rPr>
          <w:sz w:val="24"/>
        </w:rPr>
      </w:pPr>
      <w:r w:rsidRPr="001C0B9B">
        <w:rPr>
          <w:sz w:val="24"/>
        </w:rPr>
        <w:t xml:space="preserve">Sulistiowati, M. (2012). Penerapan Prinsip Lisensi dalam Pemberian Izin Penyelenggaraan Layanan Publik. </w:t>
      </w:r>
      <w:r w:rsidRPr="001C0B9B">
        <w:rPr>
          <w:i/>
          <w:iCs/>
          <w:sz w:val="24"/>
        </w:rPr>
        <w:t>Mimbar Hukum - Fakultas Hukum Universitas Gadjah Mada</w:t>
      </w:r>
      <w:r w:rsidRPr="001C0B9B">
        <w:rPr>
          <w:sz w:val="24"/>
        </w:rPr>
        <w:t xml:space="preserve">, </w:t>
      </w:r>
      <w:r w:rsidRPr="001C0B9B">
        <w:rPr>
          <w:i/>
          <w:iCs/>
          <w:sz w:val="24"/>
        </w:rPr>
        <w:t>24</w:t>
      </w:r>
      <w:r w:rsidRPr="001C0B9B">
        <w:rPr>
          <w:sz w:val="24"/>
        </w:rPr>
        <w:t>(3), Article 3. https://doi.org/10.22146/jmh.16113</w:t>
      </w:r>
    </w:p>
    <w:p w14:paraId="6186F252" w14:textId="77777777" w:rsidR="001C0B9B" w:rsidRPr="001C0B9B" w:rsidRDefault="001C0B9B" w:rsidP="001C0B9B">
      <w:pPr>
        <w:pStyle w:val="Bibliography"/>
        <w:spacing w:line="240" w:lineRule="auto"/>
        <w:ind w:left="993" w:hanging="633"/>
        <w:jc w:val="both"/>
        <w:rPr>
          <w:sz w:val="24"/>
        </w:rPr>
      </w:pPr>
      <w:r w:rsidRPr="001C0B9B">
        <w:rPr>
          <w:sz w:val="24"/>
        </w:rPr>
        <w:t xml:space="preserve">Tauvani, A. Y. (2020). THE ROLE OF THE OMBUDSMAN OF THE JAMBI PROVINCE OF THE REPUBLIC OF INDONESIA IN DOING SUPERVISION OF THE PUBLIC SERVICE INSTITUTION IN THE JAMBI PRATAMA TAX SERVICE OFFICE BASED ON LAW NUMBER 37 OF 2008. </w:t>
      </w:r>
      <w:r w:rsidRPr="001C0B9B">
        <w:rPr>
          <w:i/>
          <w:iCs/>
          <w:sz w:val="24"/>
        </w:rPr>
        <w:t>Journal Analytica Islamica</w:t>
      </w:r>
      <w:r w:rsidRPr="001C0B9B">
        <w:rPr>
          <w:sz w:val="24"/>
        </w:rPr>
        <w:t xml:space="preserve">, </w:t>
      </w:r>
      <w:r w:rsidRPr="001C0B9B">
        <w:rPr>
          <w:i/>
          <w:iCs/>
          <w:sz w:val="24"/>
        </w:rPr>
        <w:t>9</w:t>
      </w:r>
      <w:r w:rsidRPr="001C0B9B">
        <w:rPr>
          <w:sz w:val="24"/>
        </w:rPr>
        <w:t>(1), Article 1. http://jurnal.uinsu.ac.id/index.php/analytica/article/view/8412</w:t>
      </w:r>
    </w:p>
    <w:p w14:paraId="110B254F" w14:textId="77777777" w:rsidR="001C0B9B" w:rsidRPr="001C0B9B" w:rsidRDefault="001C0B9B" w:rsidP="001C0B9B">
      <w:pPr>
        <w:pStyle w:val="Bibliography"/>
        <w:spacing w:line="240" w:lineRule="auto"/>
        <w:ind w:left="993" w:hanging="633"/>
        <w:jc w:val="both"/>
        <w:rPr>
          <w:sz w:val="24"/>
        </w:rPr>
      </w:pPr>
      <w:r w:rsidRPr="001C0B9B">
        <w:rPr>
          <w:sz w:val="24"/>
        </w:rPr>
        <w:t xml:space="preserve">Wantu, F. M., Muhtar, M. H., Putri, V. S., Thalib, M. C., &amp; Junus, N. (2023). EKSISTENSI MEDIASI SEBAGAI SALAH SATU BENTUK PENYELESAIAN SENGKETA LINGKUNGAN HIDUP PASCA BERLAKUNYA UNDANG-UNDANG CIPTA KERJA. </w:t>
      </w:r>
      <w:r w:rsidRPr="001C0B9B">
        <w:rPr>
          <w:i/>
          <w:iCs/>
          <w:sz w:val="24"/>
        </w:rPr>
        <w:t>Jurnal Bina Hukum Lingkungan</w:t>
      </w:r>
      <w:r w:rsidRPr="001C0B9B">
        <w:rPr>
          <w:sz w:val="24"/>
        </w:rPr>
        <w:t xml:space="preserve">, </w:t>
      </w:r>
      <w:r w:rsidRPr="001C0B9B">
        <w:rPr>
          <w:i/>
          <w:iCs/>
          <w:sz w:val="24"/>
        </w:rPr>
        <w:t>7</w:t>
      </w:r>
      <w:r w:rsidRPr="001C0B9B">
        <w:rPr>
          <w:sz w:val="24"/>
        </w:rPr>
        <w:t>(2), 257–289. https://doi.org/10.24970/bhl.v7i2.342</w:t>
      </w:r>
    </w:p>
    <w:p w14:paraId="79C1980C" w14:textId="4F9BD2BC" w:rsidR="002F3C45" w:rsidRPr="002F3C45" w:rsidRDefault="001C0B9B" w:rsidP="001C0B9B">
      <w:pPr>
        <w:pStyle w:val="Bibliography"/>
        <w:spacing w:line="240" w:lineRule="auto"/>
        <w:ind w:left="993" w:hanging="633"/>
        <w:jc w:val="both"/>
        <w:rPr>
          <w:sz w:val="24"/>
          <w:szCs w:val="24"/>
        </w:rPr>
      </w:pPr>
      <w:r>
        <w:rPr>
          <w:sz w:val="24"/>
          <w:szCs w:val="24"/>
        </w:rPr>
        <w:fldChar w:fldCharType="end"/>
      </w:r>
    </w:p>
    <w:p w14:paraId="12F2FC9F" w14:textId="02CBE7FC" w:rsidR="00BC54D9" w:rsidRDefault="00BC54D9" w:rsidP="002F3C45">
      <w:pPr>
        <w:ind w:left="851" w:right="480" w:hanging="531"/>
        <w:jc w:val="both"/>
        <w:rPr>
          <w:rFonts w:ascii="Palatino Linotype" w:eastAsia="Palatino Linotype" w:hAnsi="Palatino Linotype" w:cs="Palatino Linotype"/>
          <w:sz w:val="20"/>
          <w:szCs w:val="20"/>
        </w:rPr>
      </w:pPr>
    </w:p>
    <w:sectPr w:rsidR="00BC54D9">
      <w:headerReference w:type="default" r:id="rId17"/>
      <w:footerReference w:type="default" r:id="rId18"/>
      <w:pgSz w:w="11910" w:h="16850"/>
      <w:pgMar w:top="1600" w:right="1220" w:bottom="242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7F726" w14:textId="77777777" w:rsidR="001324A9" w:rsidRDefault="001324A9">
      <w:r>
        <w:separator/>
      </w:r>
    </w:p>
  </w:endnote>
  <w:endnote w:type="continuationSeparator" w:id="0">
    <w:p w14:paraId="75838785" w14:textId="77777777" w:rsidR="001324A9" w:rsidRDefault="00132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Palatino">
    <w:altName w:val="Book Antiqua"/>
    <w:charset w:val="4D"/>
    <w:family w:val="auto"/>
    <w:pitch w:val="variable"/>
    <w:sig w:usb0="A00002FF" w:usb1="7800205A" w:usb2="14600000" w:usb3="00000000" w:csb0="00000193" w:csb1="00000000"/>
  </w:font>
  <w:font w:name="PMingLiU-ExtB">
    <w:panose1 w:val="02020500000000000000"/>
    <w:charset w:val="88"/>
    <w:family w:val="roman"/>
    <w:pitch w:val="variable"/>
    <w:sig w:usb0="8000002F" w:usb1="0A080008" w:usb2="00000010"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70BE0" w14:textId="77777777" w:rsidR="005331E8" w:rsidRDefault="005331E8">
    <w:pPr>
      <w:pStyle w:val="ListParagraph"/>
      <w:spacing w:line="14" w:lineRule="auto"/>
      <w:jc w:val="left"/>
      <w:rPr>
        <w:sz w:val="20"/>
      </w:rPr>
    </w:pPr>
  </w:p>
  <w:p w14:paraId="0EAF35C4" w14:textId="77777777" w:rsidR="005331E8" w:rsidRDefault="005331E8"/>
  <w:p w14:paraId="72AE6C2D" w14:textId="77777777" w:rsidR="005331E8" w:rsidRDefault="00533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goog_rdk_110"/>
      <w:id w:val="2020429367"/>
    </w:sdtPr>
    <w:sdtContent>
      <w:p w14:paraId="66CB254D" w14:textId="77777777" w:rsidR="00313C0A" w:rsidRDefault="00000000">
        <w:sdt>
          <w:sdtPr>
            <w:tag w:val="goog_rdk_109"/>
            <w:id w:val="380144241"/>
          </w:sdtP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47CE5" w14:textId="77777777" w:rsidR="00BC54D9" w:rsidRDefault="00C510CC">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64384" behindDoc="1" locked="0" layoutInCell="1" hidden="0" allowOverlap="1" wp14:anchorId="31E3ED39" wp14:editId="10107F6C">
              <wp:simplePos x="0" y="0"/>
              <wp:positionH relativeFrom="column">
                <wp:posOffset>50800</wp:posOffset>
              </wp:positionH>
              <wp:positionV relativeFrom="paragraph">
                <wp:posOffset>9080500</wp:posOffset>
              </wp:positionV>
              <wp:extent cx="5868670" cy="356870"/>
              <wp:effectExtent l="0" t="0" r="0" b="0"/>
              <wp:wrapNone/>
              <wp:docPr id="2027640347" name="Group 2027640347"/>
              <wp:cNvGraphicFramePr/>
              <a:graphic xmlns:a="http://schemas.openxmlformats.org/drawingml/2006/main">
                <a:graphicData uri="http://schemas.microsoft.com/office/word/2010/wordprocessingGroup">
                  <wpg:wgp>
                    <wpg:cNvGrpSpPr/>
                    <wpg:grpSpPr>
                      <a:xfrm>
                        <a:off x="0" y="0"/>
                        <a:ext cx="5868670" cy="356870"/>
                        <a:chOff x="2411650" y="3601225"/>
                        <a:chExt cx="5869025" cy="356900"/>
                      </a:xfrm>
                    </wpg:grpSpPr>
                    <wpg:grpSp>
                      <wpg:cNvPr id="589116237" name="Group 589116237"/>
                      <wpg:cNvGrpSpPr/>
                      <wpg:grpSpPr>
                        <a:xfrm>
                          <a:off x="2411665" y="3601565"/>
                          <a:ext cx="5864225" cy="351790"/>
                          <a:chOff x="1334" y="14305"/>
                          <a:chExt cx="9235" cy="554"/>
                        </a:xfrm>
                      </wpg:grpSpPr>
                      <wps:wsp>
                        <wps:cNvPr id="579300441" name="Rectangle 579300441"/>
                        <wps:cNvSpPr/>
                        <wps:spPr>
                          <a:xfrm>
                            <a:off x="1334" y="14305"/>
                            <a:ext cx="9225" cy="550"/>
                          </a:xfrm>
                          <a:prstGeom prst="rect">
                            <a:avLst/>
                          </a:prstGeom>
                          <a:noFill/>
                          <a:ln>
                            <a:noFill/>
                          </a:ln>
                        </wps:spPr>
                        <wps:txbx>
                          <w:txbxContent>
                            <w:p w14:paraId="6243E619" w14:textId="77777777" w:rsidR="00BC54D9" w:rsidRDefault="00BC54D9">
                              <w:pPr>
                                <w:textDirection w:val="btLr"/>
                              </w:pPr>
                            </w:p>
                          </w:txbxContent>
                        </wps:txbx>
                        <wps:bodyPr spcFirstLastPara="1" wrap="square" lIns="91425" tIns="91425" rIns="91425" bIns="91425" anchor="ctr" anchorCtr="0">
                          <a:noAutofit/>
                        </wps:bodyPr>
                      </wps:wsp>
                      <wps:wsp>
                        <wps:cNvPr id="1430243287" name="Freeform 1430243287"/>
                        <wps:cNvSpPr/>
                        <wps:spPr>
                          <a:xfrm>
                            <a:off x="1384" y="14365"/>
                            <a:ext cx="9140" cy="432"/>
                          </a:xfrm>
                          <a:custGeom>
                            <a:avLst/>
                            <a:gdLst/>
                            <a:ahLst/>
                            <a:cxnLst/>
                            <a:rect l="l" t="t" r="r" b="b"/>
                            <a:pathLst>
                              <a:path w="9140" h="432" extrusionOk="0">
                                <a:moveTo>
                                  <a:pt x="7434" y="0"/>
                                </a:moveTo>
                                <a:lnTo>
                                  <a:pt x="0" y="0"/>
                                </a:lnTo>
                                <a:lnTo>
                                  <a:pt x="0" y="432"/>
                                </a:lnTo>
                                <a:lnTo>
                                  <a:pt x="7434" y="432"/>
                                </a:lnTo>
                                <a:lnTo>
                                  <a:pt x="7434" y="0"/>
                                </a:lnTo>
                                <a:close/>
                                <a:moveTo>
                                  <a:pt x="9140" y="0"/>
                                </a:moveTo>
                                <a:lnTo>
                                  <a:pt x="7468" y="0"/>
                                </a:lnTo>
                                <a:lnTo>
                                  <a:pt x="7468" y="432"/>
                                </a:lnTo>
                                <a:lnTo>
                                  <a:pt x="9140" y="432"/>
                                </a:lnTo>
                                <a:lnTo>
                                  <a:pt x="9140" y="0"/>
                                </a:lnTo>
                                <a:close/>
                              </a:path>
                            </a:pathLst>
                          </a:custGeom>
                          <a:solidFill>
                            <a:srgbClr val="943735"/>
                          </a:solidFill>
                          <a:ln>
                            <a:noFill/>
                          </a:ln>
                        </wps:spPr>
                        <wps:bodyPr spcFirstLastPara="1" wrap="square" lIns="91425" tIns="91425" rIns="91425" bIns="91425" anchor="ctr" anchorCtr="0">
                          <a:noAutofit/>
                        </wps:bodyPr>
                      </wps:wsp>
                      <wps:wsp>
                        <wps:cNvPr id="565390762" name="Rectangle 565390762"/>
                        <wps:cNvSpPr/>
                        <wps:spPr>
                          <a:xfrm>
                            <a:off x="1342" y="14312"/>
                            <a:ext cx="9227" cy="547"/>
                          </a:xfrm>
                          <a:prstGeom prst="rect">
                            <a:avLst/>
                          </a:prstGeom>
                          <a:noFill/>
                          <a:ln w="9525" cap="flat" cmpd="sng">
                            <a:solidFill>
                              <a:srgbClr val="000000"/>
                            </a:solidFill>
                            <a:prstDash val="solid"/>
                            <a:miter lim="800000"/>
                            <a:headEnd type="none" w="sm" len="sm"/>
                            <a:tailEnd type="none" w="sm" len="sm"/>
                          </a:ln>
                        </wps:spPr>
                        <wps:txbx>
                          <w:txbxContent>
                            <w:p w14:paraId="4B18640F" w14:textId="77777777" w:rsidR="00BC54D9" w:rsidRDefault="00BC54D9">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31E3ED39" id="Group 2027640347" o:spid="_x0000_s1041" style="position:absolute;margin-left:4pt;margin-top:715pt;width:462.1pt;height:28.1pt;z-index:-251652096;mso-wrap-distance-left:0;mso-wrap-distance-right:0" coordorigin="24116,36012" coordsize="58690,3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">
              <v:group id="Group 589116237" o:spid="_x0000_s1042" style="position:absolute;left:24116;top:36015;width:58642;height:3518" coordorigin="1334,14305" coordsize="923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">
                <v:rect id="Rectangle 579300441" o:spid="_x0000_s1043" style="position:absolute;left:1334;top:14305;width:9225;height: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" filled="f" stroked="f">
                  <v:textbox inset="2.53958mm,2.53958mm,2.53958mm,2.53958mm">
                    <w:txbxContent>
                      <w:p w14:paraId="6243E619" w14:textId="77777777" w:rsidR="00BC54D9" w:rsidRDefault="00BC54D9">
                        <w:pPr>
                          <w:textDirection w:val="btLr"/>
                        </w:pPr>
                      </w:p>
                    </w:txbxContent>
                  </v:textbox>
                </v:rect>
                <v:shape id="Freeform 1430243287" o:spid="_x0000_s1044" style="position:absolute;left:1384;top:14365;width:9140;height:432;visibility:visible;mso-wrap-style:square;v-text-anchor:middle" coordsize="914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" path="m7434,l,,,432r7434,l7434,xm9140,l7468,r,432l9140,432,9140,xe" fillcolor="#943735" stroked="f">
                  <v:path arrowok="t" o:extrusionok="f"/>
                </v:shape>
                <v:rect id="Rectangle 565390762" o:spid="_x0000_s1045" style="position:absolute;left:1342;top:14312;width:9227;height: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" filled="f">
                  <v:stroke startarrowwidth="narrow" startarrowlength="short" endarrowwidth="narrow" endarrowlength="short"/>
                  <v:textbox inset="2.53958mm,2.53958mm,2.53958mm,2.53958mm">
                    <w:txbxContent>
                      <w:p w14:paraId="4B18640F" w14:textId="77777777" w:rsidR="00BC54D9" w:rsidRDefault="00BC54D9">
                        <w:pPr>
                          <w:textDirection w:val="btLr"/>
                        </w:pPr>
                      </w:p>
                    </w:txbxContent>
                  </v:textbox>
                </v:rect>
              </v:group>
            </v:group>
          </w:pict>
        </mc:Fallback>
      </mc:AlternateContent>
    </w:r>
    <w:r>
      <w:rPr>
        <w:noProof/>
      </w:rPr>
      <mc:AlternateContent>
        <mc:Choice Requires="wps">
          <w:drawing>
            <wp:anchor distT="0" distB="0" distL="0" distR="0" simplePos="0" relativeHeight="251665408" behindDoc="1" locked="0" layoutInCell="1" hidden="0" allowOverlap="1" wp14:anchorId="63F5124C" wp14:editId="4BCBD310">
              <wp:simplePos x="0" y="0"/>
              <wp:positionH relativeFrom="column">
                <wp:posOffset>406400</wp:posOffset>
              </wp:positionH>
              <wp:positionV relativeFrom="paragraph">
                <wp:posOffset>9144000</wp:posOffset>
              </wp:positionV>
              <wp:extent cx="4077335" cy="172720"/>
              <wp:effectExtent l="0" t="0" r="0" b="0"/>
              <wp:wrapNone/>
              <wp:docPr id="2027640343" name="Rectangle 2027640343"/>
              <wp:cNvGraphicFramePr/>
              <a:graphic xmlns:a="http://schemas.openxmlformats.org/drawingml/2006/main">
                <a:graphicData uri="http://schemas.microsoft.com/office/word/2010/wordprocessingShape">
                  <wps:wsp>
                    <wps:cNvSpPr/>
                    <wps:spPr>
                      <a:xfrm>
                        <a:off x="3312095" y="3698403"/>
                        <a:ext cx="4067810" cy="163195"/>
                      </a:xfrm>
                      <a:prstGeom prst="rect">
                        <a:avLst/>
                      </a:prstGeom>
                      <a:noFill/>
                      <a:ln>
                        <a:noFill/>
                      </a:ln>
                    </wps:spPr>
                    <wps:txbx>
                      <w:txbxContent>
                        <w:p w14:paraId="40E2C5F4" w14:textId="77777777" w:rsidR="00BC54D9" w:rsidRDefault="00C510CC">
                          <w:pPr>
                            <w:ind w:left="20" w:firstLine="20"/>
                            <w:textDirection w:val="btLr"/>
                          </w:pPr>
                          <w:r>
                            <w:rPr>
                              <w:rFonts w:ascii="Palatino Linotype" w:eastAsia="Palatino Linotype" w:hAnsi="Palatino Linotype" w:cs="Palatino Linotype"/>
                              <w:b/>
                              <w:color w:val="FFFFFF"/>
                              <w:sz w:val="18"/>
                            </w:rPr>
                            <w:t>Erlina: Implementation of Legal Protection of Geographical Indication of ……</w:t>
                          </w:r>
                        </w:p>
                      </w:txbxContent>
                    </wps:txbx>
                    <wps:bodyPr spcFirstLastPara="1" wrap="square" lIns="0" tIns="0" rIns="0" bIns="0" anchor="t" anchorCtr="0">
                      <a:noAutofit/>
                    </wps:bodyPr>
                  </wps:wsp>
                </a:graphicData>
              </a:graphic>
            </wp:anchor>
          </w:drawing>
        </mc:Choice>
        <mc:Fallback>
          <w:pict>
            <v:rect w14:anchorId="63F5124C" id="Rectangle 2027640343" o:spid="_x0000_s1046" style="position:absolute;margin-left:32pt;margin-top:10in;width:321.05pt;height:13.6pt;z-index:-2516510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" filled="f" stroked="f">
              <v:textbox inset="0,0,0,0">
                <w:txbxContent>
                  <w:p w14:paraId="40E2C5F4" w14:textId="77777777" w:rsidR="00BC54D9" w:rsidRDefault="00000000">
                    <w:pPr>
                      <w:ind w:left="20" w:firstLine="20"/>
                      <w:textDirection w:val="btLr"/>
                    </w:pPr>
                    <w:r>
                      <w:rPr>
                        <w:rFonts w:ascii="Palatino Linotype" w:eastAsia="Palatino Linotype" w:hAnsi="Palatino Linotype" w:cs="Palatino Linotype"/>
                        <w:b/>
                        <w:color w:val="FFFFFF"/>
                        <w:sz w:val="18"/>
                      </w:rPr>
                      <w:t>Erlina: Implementation of Legal Protection of Geographical Indication of ……</w:t>
                    </w:r>
                  </w:p>
                </w:txbxContent>
              </v:textbox>
            </v:rect>
          </w:pict>
        </mc:Fallback>
      </mc:AlternateContent>
    </w:r>
    <w:r>
      <w:rPr>
        <w:noProof/>
      </w:rPr>
      <mc:AlternateContent>
        <mc:Choice Requires="wps">
          <w:drawing>
            <wp:anchor distT="0" distB="0" distL="0" distR="0" simplePos="0" relativeHeight="251666432" behindDoc="1" locked="0" layoutInCell="1" hidden="0" allowOverlap="1" wp14:anchorId="656CE467" wp14:editId="1D832A39">
              <wp:simplePos x="0" y="0"/>
              <wp:positionH relativeFrom="column">
                <wp:posOffset>5257800</wp:posOffset>
              </wp:positionH>
              <wp:positionV relativeFrom="paragraph">
                <wp:posOffset>9144000</wp:posOffset>
              </wp:positionV>
              <wp:extent cx="192405" cy="179070"/>
              <wp:effectExtent l="0" t="0" r="0" b="0"/>
              <wp:wrapNone/>
              <wp:docPr id="2027640348" name="Rectangle 2027640348"/>
              <wp:cNvGraphicFramePr/>
              <a:graphic xmlns:a="http://schemas.openxmlformats.org/drawingml/2006/main">
                <a:graphicData uri="http://schemas.microsoft.com/office/word/2010/wordprocessingShape">
                  <wps:wsp>
                    <wps:cNvSpPr/>
                    <wps:spPr>
                      <a:xfrm>
                        <a:off x="5254560" y="3695228"/>
                        <a:ext cx="182880" cy="169545"/>
                      </a:xfrm>
                      <a:prstGeom prst="rect">
                        <a:avLst/>
                      </a:prstGeom>
                      <a:noFill/>
                      <a:ln>
                        <a:noFill/>
                      </a:ln>
                    </wps:spPr>
                    <wps:txbx>
                      <w:txbxContent>
                        <w:p w14:paraId="283B9E28" w14:textId="77777777" w:rsidR="00BC54D9" w:rsidRDefault="00C510CC">
                          <w:pPr>
                            <w:spacing w:line="247" w:lineRule="auto"/>
                            <w:ind w:left="60" w:firstLine="60"/>
                            <w:textDirection w:val="btLr"/>
                          </w:pPr>
                          <w:r>
                            <w:rPr>
                              <w:rFonts w:ascii="PMingLiU-ExtB" w:eastAsia="PMingLiU-ExtB" w:hAnsi="PMingLiU-ExtB" w:cs="PMingLiU-ExtB"/>
                              <w:color w:val="FFFFFF"/>
                              <w:sz w:val="18"/>
                            </w:rPr>
                            <w:t>PAGE</w:t>
                          </w:r>
                          <w:r>
                            <w:rPr>
                              <w:color w:val="000000"/>
                            </w:rPr>
                            <w:t>10</w:t>
                          </w:r>
                        </w:p>
                      </w:txbxContent>
                    </wps:txbx>
                    <wps:bodyPr spcFirstLastPara="1" wrap="square" lIns="0" tIns="0" rIns="0" bIns="0" anchor="t" anchorCtr="0">
                      <a:noAutofit/>
                    </wps:bodyPr>
                  </wps:wsp>
                </a:graphicData>
              </a:graphic>
            </wp:anchor>
          </w:drawing>
        </mc:Choice>
        <mc:Fallback>
          <w:pict>
            <v:rect w14:anchorId="656CE467" id="Rectangle 2027640348" o:spid="_x0000_s1047" style="position:absolute;margin-left:414pt;margin-top:10in;width:15.15pt;height:14.1pt;z-index:-2516500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" filled="f" stroked="f">
              <v:textbox inset="0,0,0,0">
                <w:txbxContent>
                  <w:p w14:paraId="283B9E28" w14:textId="77777777" w:rsidR="00BC54D9" w:rsidRDefault="00000000">
                    <w:pPr>
                      <w:spacing w:line="247" w:lineRule="auto"/>
                      <w:ind w:left="60" w:firstLine="60"/>
                      <w:textDirection w:val="btLr"/>
                    </w:pPr>
                    <w:r>
                      <w:rPr>
                        <w:rFonts w:ascii="PMingLiU-ExtB" w:eastAsia="PMingLiU-ExtB" w:hAnsi="PMingLiU-ExtB" w:cs="PMingLiU-ExtB"/>
                        <w:color w:val="FFFFFF"/>
                        <w:sz w:val="18"/>
                      </w:rPr>
                      <w:t>PAGE</w:t>
                    </w:r>
                    <w:r>
                      <w:rPr>
                        <w:color w:val="000000"/>
                      </w:rPr>
                      <w:t>10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44DC9" w14:textId="77777777" w:rsidR="001324A9" w:rsidRDefault="001324A9">
      <w:r>
        <w:separator/>
      </w:r>
    </w:p>
  </w:footnote>
  <w:footnote w:type="continuationSeparator" w:id="0">
    <w:p w14:paraId="58FB3EB6" w14:textId="77777777" w:rsidR="001324A9" w:rsidRDefault="00132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1DE49" w14:textId="77777777" w:rsidR="00BC54D9" w:rsidRDefault="00C510CC">
    <w:pPr>
      <w:pBdr>
        <w:top w:val="nil"/>
        <w:left w:val="nil"/>
        <w:bottom w:val="nil"/>
        <w:right w:val="nil"/>
        <w:between w:val="nil"/>
      </w:pBdr>
      <w:spacing w:line="14" w:lineRule="auto"/>
      <w:rPr>
        <w:color w:val="000000"/>
        <w:sz w:val="20"/>
        <w:szCs w:val="20"/>
      </w:rPr>
    </w:pPr>
    <w:r>
      <w:rPr>
        <w:noProof/>
        <w:color w:val="000000"/>
        <w:sz w:val="24"/>
        <w:szCs w:val="24"/>
      </w:rPr>
      <mc:AlternateContent>
        <mc:Choice Requires="wpg">
          <w:drawing>
            <wp:anchor distT="0" distB="0" distL="0" distR="0" simplePos="0" relativeHeight="251658240" behindDoc="1" locked="0" layoutInCell="1" hidden="0" allowOverlap="1" wp14:anchorId="51CACA9C" wp14:editId="6BCBB5C2">
              <wp:simplePos x="0" y="0"/>
              <wp:positionH relativeFrom="page">
                <wp:posOffset>1071880</wp:posOffset>
              </wp:positionH>
              <wp:positionV relativeFrom="page">
                <wp:posOffset>179705</wp:posOffset>
              </wp:positionV>
              <wp:extent cx="5338445" cy="384175"/>
              <wp:effectExtent l="0" t="0" r="0" b="0"/>
              <wp:wrapNone/>
              <wp:docPr id="2027640345" name="Group 2027640345"/>
              <wp:cNvGraphicFramePr/>
              <a:graphic xmlns:a="http://schemas.openxmlformats.org/drawingml/2006/main">
                <a:graphicData uri="http://schemas.microsoft.com/office/word/2010/wordprocessingGroup">
                  <wpg:wgp>
                    <wpg:cNvGrpSpPr/>
                    <wpg:grpSpPr>
                      <a:xfrm>
                        <a:off x="0" y="0"/>
                        <a:ext cx="5338445" cy="384175"/>
                        <a:chOff x="2676125" y="3587900"/>
                        <a:chExt cx="5338475" cy="384200"/>
                      </a:xfrm>
                    </wpg:grpSpPr>
                    <wpg:grpSp>
                      <wpg:cNvPr id="1813127253" name="Group 1813127253"/>
                      <wpg:cNvGrpSpPr/>
                      <wpg:grpSpPr>
                        <a:xfrm>
                          <a:off x="2676143" y="3587913"/>
                          <a:ext cx="5338445" cy="384175"/>
                          <a:chOff x="1687" y="283"/>
                          <a:chExt cx="8407" cy="605"/>
                        </a:xfrm>
                      </wpg:grpSpPr>
                      <wps:wsp>
                        <wps:cNvPr id="1567906820" name="Rectangle 1567906820"/>
                        <wps:cNvSpPr/>
                        <wps:spPr>
                          <a:xfrm>
                            <a:off x="1688" y="283"/>
                            <a:ext cx="8400" cy="600"/>
                          </a:xfrm>
                          <a:prstGeom prst="rect">
                            <a:avLst/>
                          </a:prstGeom>
                          <a:noFill/>
                          <a:ln>
                            <a:noFill/>
                          </a:ln>
                        </wps:spPr>
                        <wps:txbx>
                          <w:txbxContent>
                            <w:p w14:paraId="4589FD7A" w14:textId="77777777" w:rsidR="00BC54D9" w:rsidRDefault="00BC54D9">
                              <w:pPr>
                                <w:textDirection w:val="btLr"/>
                              </w:pPr>
                            </w:p>
                          </w:txbxContent>
                        </wps:txbx>
                        <wps:bodyPr spcFirstLastPara="1" wrap="square" lIns="91425" tIns="91425" rIns="91425" bIns="91425" anchor="ctr" anchorCtr="0">
                          <a:noAutofit/>
                        </wps:bodyPr>
                      </wps:wsp>
                      <wps:wsp>
                        <wps:cNvPr id="924129296" name="Freeform 924129296"/>
                        <wps:cNvSpPr/>
                        <wps:spPr>
                          <a:xfrm>
                            <a:off x="1687" y="283"/>
                            <a:ext cx="2192" cy="605"/>
                          </a:xfrm>
                          <a:custGeom>
                            <a:avLst/>
                            <a:gdLst/>
                            <a:ahLst/>
                            <a:cxnLst/>
                            <a:rect l="l" t="t" r="r" b="b"/>
                            <a:pathLst>
                              <a:path w="2192" h="605" extrusionOk="0">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wps:spPr>
                        <wps:bodyPr spcFirstLastPara="1" wrap="square" lIns="91425" tIns="91425" rIns="91425" bIns="91425" anchor="ctr" anchorCtr="0">
                          <a:noAutofit/>
                        </wps:bodyPr>
                      </wps:wsp>
                      <wps:wsp>
                        <wps:cNvPr id="1260541981" name="Freeform 1260541981"/>
                        <wps:cNvSpPr/>
                        <wps:spPr>
                          <a:xfrm>
                            <a:off x="3865" y="878"/>
                            <a:ext cx="6229" cy="10"/>
                          </a:xfrm>
                          <a:custGeom>
                            <a:avLst/>
                            <a:gdLst/>
                            <a:ahLst/>
                            <a:cxnLst/>
                            <a:rect l="l" t="t" r="r" b="b"/>
                            <a:pathLst>
                              <a:path w="6229" h="10" extrusionOk="0">
                                <a:moveTo>
                                  <a:pt x="6229" y="0"/>
                                </a:moveTo>
                                <a:lnTo>
                                  <a:pt x="10" y="0"/>
                                </a:lnTo>
                                <a:lnTo>
                                  <a:pt x="0" y="0"/>
                                </a:lnTo>
                                <a:lnTo>
                                  <a:pt x="0" y="10"/>
                                </a:lnTo>
                                <a:lnTo>
                                  <a:pt x="10" y="10"/>
                                </a:lnTo>
                                <a:lnTo>
                                  <a:pt x="6229" y="10"/>
                                </a:lnTo>
                                <a:lnTo>
                                  <a:pt x="6229" y="0"/>
                                </a:lnTo>
                                <a:close/>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51CACA9C" id="Group 2027640345" o:spid="_x0000_s1027" style="position:absolute;margin-left:84.4pt;margin-top:14.15pt;width:420.35pt;height:30.25pt;z-index:-251658240;mso-wrap-distance-left:0;mso-wrap-distance-right:0;mso-position-horizontal-relative:page;mso-position-vertical-relative:page" coordorigin="26761,35879" coordsize="53384,3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">
              <v:group id="Group 1813127253" o:spid="_x0000_s1028" style="position:absolute;left:26761;top:35879;width:53384;height:3841" coordorigin="1687,283" coordsize="840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">
                <v:rect id="Rectangle 1567906820" o:spid="_x0000_s1029" style="position:absolute;left:1688;top:283;width:84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" filled="f" stroked="f">
                  <v:textbox inset="2.53958mm,2.53958mm,2.53958mm,2.53958mm">
                    <w:txbxContent>
                      <w:p w14:paraId="4589FD7A" w14:textId="77777777" w:rsidR="00BC54D9" w:rsidRDefault="00BC54D9">
                        <w:pPr>
                          <w:textDirection w:val="btLr"/>
                        </w:pPr>
                      </w:p>
                    </w:txbxContent>
                  </v:textbox>
                </v:rect>
                <v:shape id="Freeform 924129296" o:spid="_x0000_s1030" style="position:absolute;left:1687;top:283;width:2192;height:605;visibility:visible;mso-wrap-style:square;v-text-anchor:middle"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" path="m2191,l14,r,72l14,523r,72l,595r,10l2191,605r,-10l2191,523r,-451l2191,xe" fillcolor="#933634" stroked="f">
                  <v:path arrowok="t" o:extrusionok="f"/>
                </v:shape>
                <v:shape id="Freeform 1260541981" o:spid="_x0000_s1031" style="position:absolute;left:3865;top:878;width:6229;height:10;visibility:visible;mso-wrap-style:square;v-text-anchor:middle"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" path="m6229,l10,,,,,10r10,l6229,10r,-10xe" fillcolor="black" stroked="f">
                  <v:path arrowok="t" o:extrusionok="f"/>
                </v:shape>
              </v:group>
              <w10:wrap anchorx="page" anchory="page"/>
            </v:group>
          </w:pict>
        </mc:Fallback>
      </mc:AlternateContent>
    </w:r>
    <w:r>
      <w:rPr>
        <w:noProof/>
        <w:color w:val="000000"/>
        <w:sz w:val="24"/>
        <w:szCs w:val="24"/>
      </w:rPr>
      <mc:AlternateContent>
        <mc:Choice Requires="wps">
          <w:drawing>
            <wp:anchor distT="0" distB="0" distL="0" distR="0" simplePos="0" relativeHeight="251659264" behindDoc="1" locked="0" layoutInCell="1" hidden="0" allowOverlap="1" wp14:anchorId="0108D3AF" wp14:editId="4AAD8BF5">
              <wp:simplePos x="0" y="0"/>
              <wp:positionH relativeFrom="page">
                <wp:posOffset>1133158</wp:posOffset>
              </wp:positionH>
              <wp:positionV relativeFrom="page">
                <wp:posOffset>209233</wp:posOffset>
              </wp:positionV>
              <wp:extent cx="1185545" cy="320040"/>
              <wp:effectExtent l="0" t="0" r="0" b="0"/>
              <wp:wrapNone/>
              <wp:docPr id="2027640342" name="Rectangle 2027640342"/>
              <wp:cNvGraphicFramePr/>
              <a:graphic xmlns:a="http://schemas.openxmlformats.org/drawingml/2006/main">
                <a:graphicData uri="http://schemas.microsoft.com/office/word/2010/wordprocessingShape">
                  <wps:wsp>
                    <wps:cNvSpPr/>
                    <wps:spPr>
                      <a:xfrm>
                        <a:off x="4757990" y="3624743"/>
                        <a:ext cx="1176020" cy="310515"/>
                      </a:xfrm>
                      <a:prstGeom prst="rect">
                        <a:avLst/>
                      </a:prstGeom>
                      <a:noFill/>
                      <a:ln>
                        <a:noFill/>
                      </a:ln>
                    </wps:spPr>
                    <wps:txbx>
                      <w:txbxContent>
                        <w:p w14:paraId="4EB4AAE8" w14:textId="77777777" w:rsidR="00BC54D9" w:rsidRDefault="00C510CC">
                          <w:pPr>
                            <w:spacing w:before="2" w:line="275" w:lineRule="auto"/>
                            <w:ind w:left="307" w:firstLine="307"/>
                            <w:textDirection w:val="btLr"/>
                          </w:pPr>
                          <w:r>
                            <w:rPr>
                              <w:rFonts w:ascii="Times New Roman" w:eastAsia="Times New Roman" w:hAnsi="Times New Roman" w:cs="Times New Roman"/>
                              <w:b/>
                              <w:color w:val="000000"/>
                              <w:sz w:val="24"/>
                            </w:rPr>
                            <w:t>Justice Pen:</w:t>
                          </w:r>
                        </w:p>
                        <w:p w14:paraId="040D551C" w14:textId="77777777" w:rsidR="00BC54D9" w:rsidRDefault="00C510CC">
                          <w:pPr>
                            <w:spacing w:line="182" w:lineRule="auto"/>
                            <w:ind w:left="20" w:firstLine="20"/>
                            <w:textDirection w:val="btLr"/>
                          </w:pPr>
                          <w:r>
                            <w:rPr>
                              <w:rFonts w:ascii="Times New Roman" w:eastAsia="Times New Roman" w:hAnsi="Times New Roman" w:cs="Times New Roman"/>
                              <w:b/>
                              <w:color w:val="000000"/>
                              <w:sz w:val="16"/>
                            </w:rPr>
                            <w:t>Vol. 22, no. 1, March, 2023</w:t>
                          </w:r>
                        </w:p>
                      </w:txbxContent>
                    </wps:txbx>
                    <wps:bodyPr spcFirstLastPara="1" wrap="square" lIns="0" tIns="0" rIns="0" bIns="0" anchor="t" anchorCtr="0">
                      <a:noAutofit/>
                    </wps:bodyPr>
                  </wps:wsp>
                </a:graphicData>
              </a:graphic>
            </wp:anchor>
          </w:drawing>
        </mc:Choice>
        <mc:Fallback>
          <w:pict>
            <v:rect w14:anchorId="0108D3AF" id="Rectangle 2027640342" o:spid="_x0000_s1032" style="position:absolute;margin-left:89.25pt;margin-top:16.5pt;width:93.35pt;height:25.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" filled="f" stroked="f">
              <v:textbox inset="0,0,0,0">
                <w:txbxContent>
                  <w:p w14:paraId="4EB4AAE8" w14:textId="77777777" w:rsidR="00BC54D9" w:rsidRDefault="00000000">
                    <w:pPr>
                      <w:spacing w:before="2" w:line="275" w:lineRule="auto"/>
                      <w:ind w:left="307" w:firstLine="307"/>
                      <w:textDirection w:val="btLr"/>
                    </w:pPr>
                    <w:r>
                      <w:rPr>
                        <w:rFonts w:ascii="Times New Roman" w:eastAsia="Times New Roman" w:hAnsi="Times New Roman" w:cs="Times New Roman"/>
                        <w:b/>
                        <w:color w:val="000000"/>
                        <w:sz w:val="24"/>
                      </w:rPr>
                      <w:t>Justice Pen:</w:t>
                    </w:r>
                  </w:p>
                  <w:p w14:paraId="040D551C" w14:textId="77777777" w:rsidR="00BC54D9" w:rsidRDefault="00000000">
                    <w:pPr>
                      <w:spacing w:line="182" w:lineRule="auto"/>
                      <w:ind w:left="20" w:firstLine="20"/>
                      <w:textDirection w:val="btLr"/>
                    </w:pPr>
                    <w:r>
                      <w:rPr>
                        <w:rFonts w:ascii="Times New Roman" w:eastAsia="Times New Roman" w:hAnsi="Times New Roman" w:cs="Times New Roman"/>
                        <w:b/>
                        <w:color w:val="000000"/>
                        <w:sz w:val="16"/>
                      </w:rPr>
                      <w:t>Vol. 22, no. 1, March, 2023</w:t>
                    </w:r>
                  </w:p>
                </w:txbxContent>
              </v:textbox>
              <w10:wrap anchorx="page" anchory="page"/>
            </v:rect>
          </w:pict>
        </mc:Fallback>
      </mc:AlternateContent>
    </w:r>
    <w:r>
      <w:rPr>
        <w:noProof/>
        <w:color w:val="000000"/>
        <w:sz w:val="24"/>
        <w:szCs w:val="24"/>
      </w:rPr>
      <mc:AlternateContent>
        <mc:Choice Requires="wps">
          <w:drawing>
            <wp:anchor distT="0" distB="0" distL="0" distR="0" simplePos="0" relativeHeight="251660288" behindDoc="1" locked="0" layoutInCell="1" hidden="0" allowOverlap="1" wp14:anchorId="7EDF165C" wp14:editId="4F69C35A">
              <wp:simplePos x="0" y="0"/>
              <wp:positionH relativeFrom="page">
                <wp:posOffset>2565083</wp:posOffset>
              </wp:positionH>
              <wp:positionV relativeFrom="page">
                <wp:posOffset>352108</wp:posOffset>
              </wp:positionV>
              <wp:extent cx="3788410" cy="177800"/>
              <wp:effectExtent l="0" t="0" r="0" b="0"/>
              <wp:wrapNone/>
              <wp:docPr id="2027640350" name="Rectangle 2027640350"/>
              <wp:cNvGraphicFramePr/>
              <a:graphic xmlns:a="http://schemas.openxmlformats.org/drawingml/2006/main">
                <a:graphicData uri="http://schemas.microsoft.com/office/word/2010/wordprocessingShape">
                  <wps:wsp>
                    <wps:cNvSpPr/>
                    <wps:spPr>
                      <a:xfrm>
                        <a:off x="3456558" y="3695863"/>
                        <a:ext cx="3778885" cy="168275"/>
                      </a:xfrm>
                      <a:prstGeom prst="rect">
                        <a:avLst/>
                      </a:prstGeom>
                      <a:noFill/>
                      <a:ln>
                        <a:noFill/>
                      </a:ln>
                    </wps:spPr>
                    <wps:txbx>
                      <w:txbxContent>
                        <w:p w14:paraId="63FE1A49" w14:textId="77777777" w:rsidR="00BC54D9" w:rsidRDefault="00C510CC">
                          <w:pPr>
                            <w:spacing w:before="5"/>
                            <w:ind w:left="20" w:firstLine="20"/>
                            <w:textDirection w:val="btLr"/>
                          </w:pPr>
                          <w:r>
                            <w:rPr>
                              <w:rFonts w:ascii="Times New Roman" w:eastAsia="Times New Roman" w:hAnsi="Times New Roman" w:cs="Times New Roman"/>
                              <w:b/>
                              <w:color w:val="76923B"/>
                              <w:sz w:val="20"/>
                            </w:rPr>
                            <w:t>[</w:t>
                          </w:r>
                          <w:r>
                            <w:rPr>
                              <w:rFonts w:ascii="Times New Roman" w:eastAsia="Times New Roman" w:hAnsi="Times New Roman" w:cs="Times New Roman"/>
                              <w:b/>
                              <w:color w:val="000000"/>
                              <w:sz w:val="20"/>
                            </w:rPr>
                            <w:t>PENA JUSTISIA: COMMUNICATION MEDIA AND LEGAL STUDIES</w:t>
                          </w:r>
                          <w:r>
                            <w:rPr>
                              <w:rFonts w:ascii="Times New Roman" w:eastAsia="Times New Roman" w:hAnsi="Times New Roman" w:cs="Times New Roman"/>
                              <w:b/>
                              <w:color w:val="76923B"/>
                              <w:sz w:val="20"/>
                            </w:rPr>
                            <w:t>]</w:t>
                          </w:r>
                        </w:p>
                      </w:txbxContent>
                    </wps:txbx>
                    <wps:bodyPr spcFirstLastPara="1" wrap="square" lIns="0" tIns="0" rIns="0" bIns="0" anchor="t" anchorCtr="0">
                      <a:noAutofit/>
                    </wps:bodyPr>
                  </wps:wsp>
                </a:graphicData>
              </a:graphic>
            </wp:anchor>
          </w:drawing>
        </mc:Choice>
        <mc:Fallback>
          <w:pict>
            <v:rect w14:anchorId="7EDF165C" id="Rectangle 2027640350" o:spid="_x0000_s1033" style="position:absolute;margin-left:202pt;margin-top:27.75pt;width:298.3pt;height:1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" filled="f" stroked="f">
              <v:textbox inset="0,0,0,0">
                <w:txbxContent>
                  <w:p w14:paraId="63FE1A49" w14:textId="77777777" w:rsidR="00BC54D9" w:rsidRDefault="00000000">
                    <w:pPr>
                      <w:spacing w:before="5"/>
                      <w:ind w:left="20" w:firstLine="20"/>
                      <w:textDirection w:val="btLr"/>
                    </w:pPr>
                    <w:r>
                      <w:rPr>
                        <w:rFonts w:ascii="Times New Roman" w:eastAsia="Times New Roman" w:hAnsi="Times New Roman" w:cs="Times New Roman"/>
                        <w:b/>
                        <w:color w:val="76923B"/>
                        <w:sz w:val="20"/>
                      </w:rPr>
                      <w:t>[</w:t>
                    </w:r>
                    <w:r>
                      <w:rPr>
                        <w:rFonts w:ascii="Times New Roman" w:eastAsia="Times New Roman" w:hAnsi="Times New Roman" w:cs="Times New Roman"/>
                        <w:b/>
                        <w:color w:val="000000"/>
                        <w:sz w:val="20"/>
                      </w:rPr>
                      <w:t>PENA JUSTISIA: COMMUNICATION MEDIA AND LEGAL STUDIES</w:t>
                    </w:r>
                    <w:r>
                      <w:rPr>
                        <w:rFonts w:ascii="Times New Roman" w:eastAsia="Times New Roman" w:hAnsi="Times New Roman" w:cs="Times New Roman"/>
                        <w:b/>
                        <w:color w:val="76923B"/>
                        <w:sz w:val="20"/>
                      </w:rPr>
                      <w:t>]</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goog_rdk_108"/>
      <w:id w:val="555515472"/>
    </w:sdtPr>
    <w:sdtContent>
      <w:p w14:paraId="453EF8D0" w14:textId="77777777" w:rsidR="00313C0A" w:rsidRDefault="00000000">
        <w:sdt>
          <w:sdtPr>
            <w:tag w:val="goog_rdk_107"/>
            <w:id w:val="-1149430226"/>
          </w:sdtPr>
          <w:sdtContent/>
        </w:sdt>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eading=h.6fihy8csuux" w:colFirst="0" w:colLast="0"/>
  <w:bookmarkEnd w:id="3"/>
  <w:p w14:paraId="625EDE1D" w14:textId="77777777" w:rsidR="00BC54D9" w:rsidRDefault="00000000">
    <w:pPr>
      <w:pBdr>
        <w:top w:val="nil"/>
        <w:left w:val="nil"/>
        <w:bottom w:val="nil"/>
        <w:right w:val="nil"/>
        <w:between w:val="nil"/>
      </w:pBdr>
      <w:spacing w:line="14" w:lineRule="auto"/>
      <w:rPr>
        <w:color w:val="000000"/>
        <w:sz w:val="20"/>
        <w:szCs w:val="20"/>
      </w:rPr>
    </w:pPr>
    <w:sdt>
      <w:sdtPr>
        <w:tag w:val="goog_rdk_49"/>
        <w:id w:val="598842040"/>
      </w:sdtPr>
      <w:sdtContent>
        <w:sdt>
          <w:sdtPr>
            <w:tag w:val="goog_rdk_48"/>
            <w:id w:val="1991439260"/>
            <w:showingPlcHdr/>
          </w:sdtPr>
          <w:sdtContent>
            <w:r w:rsidR="005331E8">
              <w:t xml:space="preserve"> </w:t>
            </w:r>
          </w:sdtContent>
        </w:sdt>
      </w:sdtContent>
    </w:sdt>
    <w:sdt>
      <w:sdtPr>
        <w:tag w:val="goog_rdk_52"/>
        <w:id w:val="736279127"/>
      </w:sdtPr>
      <w:sdtContent>
        <w:sdt>
          <w:sdtPr>
            <w:tag w:val="goog_rdk_51"/>
            <w:id w:val="-761686846"/>
          </w:sdtPr>
          <w:sdtContent/>
        </w:sdt>
      </w:sdtContent>
    </w:sdt>
    <w:sdt>
      <w:sdtPr>
        <w:tag w:val="goog_rdk_56"/>
        <w:id w:val="-937288772"/>
      </w:sdtPr>
      <w:sdtContent>
        <w:sdt>
          <w:sdtPr>
            <w:tag w:val="goog_rdk_55"/>
            <w:id w:val="206768572"/>
            <w:showingPlcHdr/>
          </w:sdtPr>
          <w:sdtContent>
            <w:r w:rsidR="005331E8">
              <w:t xml:space="preserve"> </w:t>
            </w:r>
          </w:sdtContent>
        </w:sdt>
      </w:sdtContent>
    </w:sdt>
    <w:sdt>
      <w:sdtPr>
        <w:tag w:val="goog_rdk_58"/>
        <w:id w:val="718098803"/>
      </w:sdtPr>
      <w:sdtContent>
        <w:sdt>
          <w:sdtPr>
            <w:tag w:val="goog_rdk_57"/>
            <w:id w:val="1123341651"/>
            <w:showingPlcHdr/>
          </w:sdtPr>
          <w:sdtContent>
            <w:r w:rsidR="005331E8">
              <w:t xml:space="preserve"> </w:t>
            </w:r>
          </w:sdtContent>
        </w:sdt>
      </w:sdtContent>
    </w:sdt>
    <w:sdt>
      <w:sdtPr>
        <w:tag w:val="goog_rdk_60"/>
        <w:id w:val="-715129056"/>
      </w:sdtPr>
      <w:sdtContent>
        <w:sdt>
          <w:sdtPr>
            <w:tag w:val="goog_rdk_59"/>
            <w:id w:val="48811130"/>
            <w:showingPlcHdr/>
          </w:sdtPr>
          <w:sdtContent>
            <w:r w:rsidR="005331E8">
              <w:t xml:space="preserve"> </w:t>
            </w:r>
          </w:sdtContent>
        </w:sdt>
      </w:sdtContent>
    </w:sdt>
    <w:sdt>
      <w:sdtPr>
        <w:tag w:val="goog_rdk_62"/>
        <w:id w:val="134454407"/>
      </w:sdtPr>
      <w:sdtContent>
        <w:sdt>
          <w:sdtPr>
            <w:tag w:val="goog_rdk_61"/>
            <w:id w:val="-815492290"/>
            <w:showingPlcHdr/>
          </w:sdtPr>
          <w:sdtContent>
            <w:r w:rsidR="005331E8">
              <w:t xml:space="preserve"> </w:t>
            </w:r>
          </w:sdtContent>
        </w:sdt>
      </w:sdtContent>
    </w:sdt>
    <w:sdt>
      <w:sdtPr>
        <w:tag w:val="goog_rdk_64"/>
        <w:id w:val="80259553"/>
      </w:sdtPr>
      <w:sdtContent>
        <w:sdt>
          <w:sdtPr>
            <w:tag w:val="goog_rdk_63"/>
            <w:id w:val="964240528"/>
            <w:showingPlcHdr/>
          </w:sdtPr>
          <w:sdtContent>
            <w:r w:rsidR="005331E8">
              <w:t xml:space="preserve"> </w:t>
            </w:r>
          </w:sdtContent>
        </w:sdt>
      </w:sdtContent>
    </w:sdt>
    <w:sdt>
      <w:sdtPr>
        <w:tag w:val="goog_rdk_66"/>
        <w:id w:val="37402374"/>
      </w:sdtPr>
      <w:sdtContent>
        <w:sdt>
          <w:sdtPr>
            <w:tag w:val="goog_rdk_65"/>
            <w:id w:val="-1985310111"/>
            <w:showingPlcHdr/>
          </w:sdtPr>
          <w:sdtContent>
            <w:r w:rsidR="005331E8">
              <w:t xml:space="preserve"> </w:t>
            </w:r>
          </w:sdtContent>
        </w:sdt>
      </w:sdtContent>
    </w:sdt>
    <w:sdt>
      <w:sdtPr>
        <w:tag w:val="goog_rdk_68"/>
        <w:id w:val="916984806"/>
      </w:sdtPr>
      <w:sdtContent>
        <w:sdt>
          <w:sdtPr>
            <w:tag w:val="goog_rdk_67"/>
            <w:id w:val="-1066494762"/>
            <w:showingPlcHdr/>
          </w:sdtPr>
          <w:sdtContent>
            <w:r w:rsidR="005331E8">
              <w:t xml:space="preserve"> </w:t>
            </w:r>
          </w:sdtContent>
        </w:sdt>
      </w:sdtContent>
    </w:sdt>
    <w:sdt>
      <w:sdtPr>
        <w:tag w:val="goog_rdk_70"/>
        <w:id w:val="-1579361826"/>
      </w:sdtPr>
      <w:sdtContent>
        <w:sdt>
          <w:sdtPr>
            <w:tag w:val="goog_rdk_69"/>
            <w:id w:val="-1335767576"/>
          </w:sdtPr>
          <w:sdtContent/>
        </w:sdt>
      </w:sdtContent>
    </w:sdt>
    <w:sdt>
      <w:sdtPr>
        <w:tag w:val="goog_rdk_75"/>
        <w:id w:val="1087586468"/>
      </w:sdtPr>
      <w:sdtContent>
        <w:sdt>
          <w:sdtPr>
            <w:tag w:val="goog_rdk_73"/>
            <w:id w:val="-1937973145"/>
            <w:showingPlcHdr/>
          </w:sdtPr>
          <w:sdtContent>
            <w:r w:rsidR="005331E8">
              <w:t xml:space="preserve"> </w:t>
            </w:r>
          </w:sdtContent>
        </w:sdt>
      </w:sdtContent>
    </w:sdt>
    <w:sdt>
      <w:sdtPr>
        <w:tag w:val="goog_rdk_78"/>
        <w:id w:val="-1035421598"/>
      </w:sdtPr>
      <w:sdtContent>
        <w:sdt>
          <w:sdtPr>
            <w:tag w:val="goog_rdk_76"/>
            <w:id w:val="1996916496"/>
            <w:showingPlcHdr/>
          </w:sdtPr>
          <w:sdtContent>
            <w:r w:rsidR="005331E8">
              <w:t xml:space="preserve"> </w:t>
            </w:r>
          </w:sdtContent>
        </w:sdt>
      </w:sdtContent>
    </w:sdt>
    <w:sdt>
      <w:sdtPr>
        <w:tag w:val="goog_rdk_81"/>
        <w:id w:val="-674339141"/>
      </w:sdtPr>
      <w:sdtContent>
        <w:sdt>
          <w:sdtPr>
            <w:tag w:val="goog_rdk_79"/>
            <w:id w:val="-1086452348"/>
            <w:showingPlcHdr/>
          </w:sdtPr>
          <w:sdtContent>
            <w:r w:rsidR="005331E8">
              <w:t xml:space="preserve"> </w:t>
            </w:r>
          </w:sdtContent>
        </w:sdt>
      </w:sdtContent>
    </w:sdt>
    <w:sdt>
      <w:sdtPr>
        <w:tag w:val="goog_rdk_84"/>
        <w:id w:val="2054967190"/>
      </w:sdtPr>
      <w:sdtContent>
        <w:sdt>
          <w:sdtPr>
            <w:tag w:val="goog_rdk_82"/>
            <w:id w:val="-985775581"/>
            <w:showingPlcHdr/>
          </w:sdtPr>
          <w:sdtContent>
            <w:r w:rsidR="005331E8">
              <w:t xml:space="preserve"> </w:t>
            </w:r>
          </w:sdtContent>
        </w:sdt>
      </w:sdtContent>
    </w:sdt>
    <w:sdt>
      <w:sdtPr>
        <w:tag w:val="goog_rdk_87"/>
        <w:id w:val="1048030354"/>
      </w:sdtPr>
      <w:sdtContent>
        <w:sdt>
          <w:sdtPr>
            <w:tag w:val="goog_rdk_85"/>
            <w:id w:val="869879920"/>
            <w:showingPlcHdr/>
          </w:sdtPr>
          <w:sdtContent>
            <w:r w:rsidR="005331E8">
              <w:t xml:space="preserve"> </w:t>
            </w:r>
          </w:sdtContent>
        </w:sdt>
      </w:sdtContent>
    </w:sdt>
    <w:sdt>
      <w:sdtPr>
        <w:tag w:val="goog_rdk_89"/>
        <w:id w:val="-832830320"/>
      </w:sdtPr>
      <w:sdtContent>
        <w:sdt>
          <w:sdtPr>
            <w:tag w:val="goog_rdk_88"/>
            <w:id w:val="-1358267209"/>
          </w:sdtPr>
          <w:sdtContent/>
        </w:sdt>
      </w:sdtContent>
    </w:sdt>
    <w:sdt>
      <w:sdtPr>
        <w:tag w:val="goog_rdk_91"/>
        <w:id w:val="1366493320"/>
      </w:sdtPr>
      <w:sdtContent>
        <w:sdt>
          <w:sdtPr>
            <w:tag w:val="goog_rdk_90"/>
            <w:id w:val="1457441183"/>
            <w:showingPlcHdr/>
          </w:sdtPr>
          <w:sdtContent>
            <w:r w:rsidR="005331E8">
              <w:t xml:space="preserve"> </w:t>
            </w:r>
          </w:sdtContent>
        </w:sdt>
      </w:sdtContent>
    </w:sdt>
    <w:sdt>
      <w:sdtPr>
        <w:tag w:val="goog_rdk_93"/>
        <w:id w:val="116956699"/>
      </w:sdtPr>
      <w:sdtContent>
        <w:sdt>
          <w:sdtPr>
            <w:tag w:val="goog_rdk_92"/>
            <w:id w:val="-1650202368"/>
          </w:sdtPr>
          <w:sdtContent/>
        </w:sdt>
      </w:sdtContent>
    </w:sdt>
    <w:sdt>
      <w:sdtPr>
        <w:tag w:val="goog_rdk_95"/>
        <w:id w:val="2079316409"/>
      </w:sdtPr>
      <w:sdtContent>
        <w:sdt>
          <w:sdtPr>
            <w:tag w:val="goog_rdk_94"/>
            <w:id w:val="-620385983"/>
            <w:showingPlcHdr/>
          </w:sdtPr>
          <w:sdtContent>
            <w:r w:rsidR="005331E8">
              <w:t xml:space="preserve"> </w:t>
            </w:r>
          </w:sdtContent>
        </w:sdt>
      </w:sdtContent>
    </w:sdt>
    <w:sdt>
      <w:sdtPr>
        <w:tag w:val="goog_rdk_97"/>
        <w:id w:val="-978152542"/>
      </w:sdtPr>
      <w:sdtContent>
        <w:sdt>
          <w:sdtPr>
            <w:tag w:val="goog_rdk_96"/>
            <w:id w:val="-9533767"/>
          </w:sdtPr>
          <w:sdtContent/>
        </w:sdt>
      </w:sdtContent>
    </w:sdt>
    <w:sdt>
      <w:sdtPr>
        <w:tag w:val="goog_rdk_99"/>
        <w:id w:val="-1114137421"/>
      </w:sdtPr>
      <w:sdtContent>
        <w:sdt>
          <w:sdtPr>
            <w:tag w:val="goog_rdk_98"/>
            <w:id w:val="-3129290"/>
            <w:showingPlcHdr/>
          </w:sdtPr>
          <w:sdtContent>
            <w:r w:rsidR="005331E8">
              <w:t xml:space="preserve"> </w:t>
            </w:r>
          </w:sdtContent>
        </w:sdt>
      </w:sdtContent>
    </w:sdt>
    <w:sdt>
      <w:sdtPr>
        <w:tag w:val="goog_rdk_101"/>
        <w:id w:val="-1090538521"/>
      </w:sdtPr>
      <w:sdtContent>
        <w:sdt>
          <w:sdtPr>
            <w:tag w:val="goog_rdk_100"/>
            <w:id w:val="-702711929"/>
            <w:showingPlcHdr/>
          </w:sdtPr>
          <w:sdtContent>
            <w:r w:rsidR="005331E8">
              <w:t xml:space="preserve"> </w:t>
            </w:r>
          </w:sdtContent>
        </w:sdt>
      </w:sdtContent>
    </w:sdt>
    <w:sdt>
      <w:sdtPr>
        <w:tag w:val="goog_rdk_103"/>
        <w:id w:val="751545247"/>
      </w:sdtPr>
      <w:sdtContent>
        <w:sdt>
          <w:sdtPr>
            <w:tag w:val="goog_rdk_102"/>
            <w:id w:val="435332525"/>
          </w:sdtPr>
          <w:sdtContent/>
        </w:sdt>
      </w:sdtContent>
    </w:sdt>
    <w:sdt>
      <w:sdtPr>
        <w:tag w:val="goog_rdk_105"/>
        <w:id w:val="-1686356861"/>
      </w:sdtPr>
      <w:sdtContent>
        <w:sdt>
          <w:sdtPr>
            <w:tag w:val="goog_rdk_104"/>
            <w:id w:val="1506628473"/>
            <w:showingPlcHdr/>
          </w:sdtPr>
          <w:sdtContent>
            <w:r w:rsidR="005331E8">
              <w:t xml:space="preserve"> </w:t>
            </w:r>
          </w:sdtContent>
        </w:sdt>
      </w:sdtContent>
    </w:sdt>
    <w:r w:rsidR="00C510CC">
      <w:rPr>
        <w:noProof/>
        <w:color w:val="000000"/>
        <w:sz w:val="24"/>
        <w:szCs w:val="24"/>
      </w:rPr>
      <mc:AlternateContent>
        <mc:Choice Requires="wpg">
          <w:drawing>
            <wp:anchor distT="0" distB="0" distL="0" distR="0" simplePos="0" relativeHeight="251661312" behindDoc="1" locked="0" layoutInCell="1" hidden="0" allowOverlap="1" wp14:anchorId="27783E52" wp14:editId="4AFB9579">
              <wp:simplePos x="0" y="0"/>
              <wp:positionH relativeFrom="page">
                <wp:posOffset>1071880</wp:posOffset>
              </wp:positionH>
              <wp:positionV relativeFrom="page">
                <wp:posOffset>179705</wp:posOffset>
              </wp:positionV>
              <wp:extent cx="5338445" cy="384175"/>
              <wp:effectExtent l="0" t="0" r="0" b="0"/>
              <wp:wrapNone/>
              <wp:docPr id="2027640349" name="Group 2027640349"/>
              <wp:cNvGraphicFramePr/>
              <a:graphic xmlns:a="http://schemas.openxmlformats.org/drawingml/2006/main">
                <a:graphicData uri="http://schemas.microsoft.com/office/word/2010/wordprocessingGroup">
                  <wpg:wgp>
                    <wpg:cNvGrpSpPr/>
                    <wpg:grpSpPr>
                      <a:xfrm>
                        <a:off x="0" y="0"/>
                        <a:ext cx="5338445" cy="384175"/>
                        <a:chOff x="2676125" y="3587900"/>
                        <a:chExt cx="5338475" cy="384200"/>
                      </a:xfrm>
                    </wpg:grpSpPr>
                    <wpg:grpSp>
                      <wpg:cNvPr id="1358812241" name="Group 1358812241"/>
                      <wpg:cNvGrpSpPr/>
                      <wpg:grpSpPr>
                        <a:xfrm>
                          <a:off x="2676143" y="3587913"/>
                          <a:ext cx="5338445" cy="384175"/>
                          <a:chOff x="1687" y="283"/>
                          <a:chExt cx="8407" cy="605"/>
                        </a:xfrm>
                      </wpg:grpSpPr>
                      <wps:wsp>
                        <wps:cNvPr id="1541425867" name="Rectangle 1541425867"/>
                        <wps:cNvSpPr/>
                        <wps:spPr>
                          <a:xfrm>
                            <a:off x="1688" y="283"/>
                            <a:ext cx="8400" cy="600"/>
                          </a:xfrm>
                          <a:prstGeom prst="rect">
                            <a:avLst/>
                          </a:prstGeom>
                          <a:noFill/>
                          <a:ln>
                            <a:noFill/>
                          </a:ln>
                        </wps:spPr>
                        <wps:txbx>
                          <w:txbxContent>
                            <w:p w14:paraId="7DF095C3" w14:textId="77777777" w:rsidR="00BC54D9" w:rsidRDefault="00BC54D9">
                              <w:pPr>
                                <w:textDirection w:val="btLr"/>
                              </w:pPr>
                            </w:p>
                          </w:txbxContent>
                        </wps:txbx>
                        <wps:bodyPr spcFirstLastPara="1" wrap="square" lIns="91425" tIns="91425" rIns="91425" bIns="91425" anchor="ctr" anchorCtr="0">
                          <a:noAutofit/>
                        </wps:bodyPr>
                      </wps:wsp>
                      <wps:wsp>
                        <wps:cNvPr id="268721729" name="Freeform 268721729"/>
                        <wps:cNvSpPr/>
                        <wps:spPr>
                          <a:xfrm>
                            <a:off x="1687" y="283"/>
                            <a:ext cx="2192" cy="605"/>
                          </a:xfrm>
                          <a:custGeom>
                            <a:avLst/>
                            <a:gdLst/>
                            <a:ahLst/>
                            <a:cxnLst/>
                            <a:rect l="l" t="t" r="r" b="b"/>
                            <a:pathLst>
                              <a:path w="2192" h="605" extrusionOk="0">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wps:spPr>
                        <wps:bodyPr spcFirstLastPara="1" wrap="square" lIns="91425" tIns="91425" rIns="91425" bIns="91425" anchor="ctr" anchorCtr="0">
                          <a:noAutofit/>
                        </wps:bodyPr>
                      </wps:wsp>
                      <wps:wsp>
                        <wps:cNvPr id="1462987877" name="Freeform 1462987877"/>
                        <wps:cNvSpPr/>
                        <wps:spPr>
                          <a:xfrm>
                            <a:off x="3865" y="878"/>
                            <a:ext cx="6229" cy="10"/>
                          </a:xfrm>
                          <a:custGeom>
                            <a:avLst/>
                            <a:gdLst/>
                            <a:ahLst/>
                            <a:cxnLst/>
                            <a:rect l="l" t="t" r="r" b="b"/>
                            <a:pathLst>
                              <a:path w="6229" h="10" extrusionOk="0">
                                <a:moveTo>
                                  <a:pt x="6229" y="0"/>
                                </a:moveTo>
                                <a:lnTo>
                                  <a:pt x="10" y="0"/>
                                </a:lnTo>
                                <a:lnTo>
                                  <a:pt x="0" y="0"/>
                                </a:lnTo>
                                <a:lnTo>
                                  <a:pt x="0" y="10"/>
                                </a:lnTo>
                                <a:lnTo>
                                  <a:pt x="10" y="10"/>
                                </a:lnTo>
                                <a:lnTo>
                                  <a:pt x="6229" y="10"/>
                                </a:lnTo>
                                <a:lnTo>
                                  <a:pt x="6229" y="0"/>
                                </a:lnTo>
                                <a:close/>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27783E52" id="Group 2027640349" o:spid="_x0000_s1034" style="position:absolute;margin-left:84.4pt;margin-top:14.15pt;width:420.35pt;height:30.25pt;z-index:-251655168;mso-wrap-distance-left:0;mso-wrap-distance-right:0;mso-position-horizontal-relative:page;mso-position-vertical-relative:page" coordorigin="26761,35879" coordsize="53384,3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">
              <v:group id="Group 1358812241" o:spid="_x0000_s1035" style="position:absolute;left:26761;top:35879;width:53384;height:3841" coordorigin="1687,283" coordsize="840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">
                <v:rect id="Rectangle 1541425867" o:spid="_x0000_s1036" style="position:absolute;left:1688;top:283;width:84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" filled="f" stroked="f">
                  <v:textbox inset="2.53958mm,2.53958mm,2.53958mm,2.53958mm">
                    <w:txbxContent>
                      <w:p w14:paraId="7DF095C3" w14:textId="77777777" w:rsidR="00BC54D9" w:rsidRDefault="00BC54D9">
                        <w:pPr>
                          <w:textDirection w:val="btLr"/>
                        </w:pPr>
                      </w:p>
                    </w:txbxContent>
                  </v:textbox>
                </v:rect>
                <v:shape id="Freeform 268721729" o:spid="_x0000_s1037" style="position:absolute;left:1687;top:283;width:2192;height:605;visibility:visible;mso-wrap-style:square;v-text-anchor:middle"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" path="m2191,l14,r,72l14,523r,72l,595r,10l2191,605r,-10l2191,523r,-451l2191,xe" fillcolor="#933634" stroked="f">
                  <v:path arrowok="t" o:extrusionok="f"/>
                </v:shape>
                <v:shape id="Freeform 1462987877" o:spid="_x0000_s1038" style="position:absolute;left:3865;top:878;width:6229;height:10;visibility:visible;mso-wrap-style:square;v-text-anchor:middle"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" path="m6229,l10,,,,,10r10,l6229,10r,-10xe" fillcolor="black" stroked="f">
                  <v:path arrowok="t" o:extrusionok="f"/>
                </v:shape>
              </v:group>
              <w10:wrap anchorx="page" anchory="page"/>
            </v:group>
          </w:pict>
        </mc:Fallback>
      </mc:AlternateContent>
    </w:r>
    <w:r w:rsidR="00C510CC">
      <w:rPr>
        <w:noProof/>
        <w:color w:val="000000"/>
        <w:sz w:val="24"/>
        <w:szCs w:val="24"/>
      </w:rPr>
      <mc:AlternateContent>
        <mc:Choice Requires="wps">
          <w:drawing>
            <wp:anchor distT="0" distB="0" distL="0" distR="0" simplePos="0" relativeHeight="251662336" behindDoc="1" locked="0" layoutInCell="1" hidden="0" allowOverlap="1" wp14:anchorId="30A219F3" wp14:editId="55CA54B2">
              <wp:simplePos x="0" y="0"/>
              <wp:positionH relativeFrom="page">
                <wp:posOffset>1133158</wp:posOffset>
              </wp:positionH>
              <wp:positionV relativeFrom="page">
                <wp:posOffset>209233</wp:posOffset>
              </wp:positionV>
              <wp:extent cx="1185545" cy="320040"/>
              <wp:effectExtent l="0" t="0" r="0" b="0"/>
              <wp:wrapNone/>
              <wp:docPr id="2027640346" name="Rectangle 2027640346"/>
              <wp:cNvGraphicFramePr/>
              <a:graphic xmlns:a="http://schemas.openxmlformats.org/drawingml/2006/main">
                <a:graphicData uri="http://schemas.microsoft.com/office/word/2010/wordprocessingShape">
                  <wps:wsp>
                    <wps:cNvSpPr/>
                    <wps:spPr>
                      <a:xfrm>
                        <a:off x="4757990" y="3624743"/>
                        <a:ext cx="1176020" cy="310515"/>
                      </a:xfrm>
                      <a:prstGeom prst="rect">
                        <a:avLst/>
                      </a:prstGeom>
                      <a:noFill/>
                      <a:ln>
                        <a:noFill/>
                      </a:ln>
                    </wps:spPr>
                    <wps:txbx>
                      <w:txbxContent>
                        <w:p w14:paraId="666B44A4" w14:textId="77777777" w:rsidR="00BC54D9" w:rsidRDefault="00C510CC">
                          <w:pPr>
                            <w:spacing w:before="2" w:line="275" w:lineRule="auto"/>
                            <w:ind w:left="307" w:firstLine="307"/>
                            <w:textDirection w:val="btLr"/>
                          </w:pPr>
                          <w:r>
                            <w:rPr>
                              <w:rFonts w:ascii="Times New Roman" w:eastAsia="Times New Roman" w:hAnsi="Times New Roman" w:cs="Times New Roman"/>
                              <w:b/>
                              <w:color w:val="000000"/>
                              <w:sz w:val="24"/>
                            </w:rPr>
                            <w:t>Justice Pen:</w:t>
                          </w:r>
                        </w:p>
                        <w:p w14:paraId="3C353520" w14:textId="77777777" w:rsidR="00BC54D9" w:rsidRDefault="00C510CC">
                          <w:pPr>
                            <w:spacing w:line="182" w:lineRule="auto"/>
                            <w:ind w:left="20" w:firstLine="20"/>
                            <w:textDirection w:val="btLr"/>
                          </w:pPr>
                          <w:r>
                            <w:rPr>
                              <w:rFonts w:ascii="Times New Roman" w:eastAsia="Times New Roman" w:hAnsi="Times New Roman" w:cs="Times New Roman"/>
                              <w:b/>
                              <w:color w:val="000000"/>
                              <w:sz w:val="16"/>
                            </w:rPr>
                            <w:t>Vol. 22, no. 1, March, 2023</w:t>
                          </w:r>
                        </w:p>
                      </w:txbxContent>
                    </wps:txbx>
                    <wps:bodyPr spcFirstLastPara="1" wrap="square" lIns="0" tIns="0" rIns="0" bIns="0" anchor="t" anchorCtr="0">
                      <a:noAutofit/>
                    </wps:bodyPr>
                  </wps:wsp>
                </a:graphicData>
              </a:graphic>
            </wp:anchor>
          </w:drawing>
        </mc:Choice>
        <mc:Fallback>
          <w:pict>
            <v:rect w14:anchorId="30A219F3" id="Rectangle 2027640346" o:spid="_x0000_s1039" style="position:absolute;margin-left:89.25pt;margin-top:16.5pt;width:93.35pt;height:25.2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" filled="f" stroked="f">
              <v:textbox inset="0,0,0,0">
                <w:txbxContent>
                  <w:p w14:paraId="666B44A4" w14:textId="77777777" w:rsidR="00BC54D9" w:rsidRDefault="00000000">
                    <w:pPr>
                      <w:spacing w:before="2" w:line="275" w:lineRule="auto"/>
                      <w:ind w:left="307" w:firstLine="307"/>
                      <w:textDirection w:val="btLr"/>
                    </w:pPr>
                    <w:r>
                      <w:rPr>
                        <w:rFonts w:ascii="Times New Roman" w:eastAsia="Times New Roman" w:hAnsi="Times New Roman" w:cs="Times New Roman"/>
                        <w:b/>
                        <w:color w:val="000000"/>
                        <w:sz w:val="24"/>
                      </w:rPr>
                      <w:t>Justice Pen:</w:t>
                    </w:r>
                  </w:p>
                  <w:p w14:paraId="3C353520" w14:textId="77777777" w:rsidR="00BC54D9" w:rsidRDefault="00000000">
                    <w:pPr>
                      <w:spacing w:line="182" w:lineRule="auto"/>
                      <w:ind w:left="20" w:firstLine="20"/>
                      <w:textDirection w:val="btLr"/>
                    </w:pPr>
                    <w:r>
                      <w:rPr>
                        <w:rFonts w:ascii="Times New Roman" w:eastAsia="Times New Roman" w:hAnsi="Times New Roman" w:cs="Times New Roman"/>
                        <w:b/>
                        <w:color w:val="000000"/>
                        <w:sz w:val="16"/>
                      </w:rPr>
                      <w:t>Vol. 22, no. 1, March, 2023</w:t>
                    </w:r>
                  </w:p>
                </w:txbxContent>
              </v:textbox>
              <w10:wrap anchorx="page" anchory="page"/>
            </v:rect>
          </w:pict>
        </mc:Fallback>
      </mc:AlternateContent>
    </w:r>
    <w:r w:rsidR="00C510CC">
      <w:rPr>
        <w:noProof/>
        <w:color w:val="000000"/>
        <w:sz w:val="24"/>
        <w:szCs w:val="24"/>
      </w:rPr>
      <mc:AlternateContent>
        <mc:Choice Requires="wps">
          <w:drawing>
            <wp:anchor distT="0" distB="0" distL="0" distR="0" simplePos="0" relativeHeight="251663360" behindDoc="1" locked="0" layoutInCell="1" hidden="0" allowOverlap="1" wp14:anchorId="4E200D33" wp14:editId="3EA743E1">
              <wp:simplePos x="0" y="0"/>
              <wp:positionH relativeFrom="page">
                <wp:posOffset>2565083</wp:posOffset>
              </wp:positionH>
              <wp:positionV relativeFrom="page">
                <wp:posOffset>352108</wp:posOffset>
              </wp:positionV>
              <wp:extent cx="3788410" cy="177800"/>
              <wp:effectExtent l="0" t="0" r="0" b="0"/>
              <wp:wrapNone/>
              <wp:docPr id="2027640344" name="Rectangle 2027640344"/>
              <wp:cNvGraphicFramePr/>
              <a:graphic xmlns:a="http://schemas.openxmlformats.org/drawingml/2006/main">
                <a:graphicData uri="http://schemas.microsoft.com/office/word/2010/wordprocessingShape">
                  <wps:wsp>
                    <wps:cNvSpPr/>
                    <wps:spPr>
                      <a:xfrm>
                        <a:off x="3456558" y="3695863"/>
                        <a:ext cx="3778885" cy="168275"/>
                      </a:xfrm>
                      <a:prstGeom prst="rect">
                        <a:avLst/>
                      </a:prstGeom>
                      <a:noFill/>
                      <a:ln>
                        <a:noFill/>
                      </a:ln>
                    </wps:spPr>
                    <wps:txbx>
                      <w:txbxContent>
                        <w:p w14:paraId="25639222" w14:textId="77777777" w:rsidR="00BC54D9" w:rsidRDefault="00C510CC">
                          <w:pPr>
                            <w:spacing w:before="5"/>
                            <w:ind w:left="20" w:firstLine="20"/>
                            <w:textDirection w:val="btLr"/>
                          </w:pPr>
                          <w:r>
                            <w:rPr>
                              <w:rFonts w:ascii="Times New Roman" w:eastAsia="Times New Roman" w:hAnsi="Times New Roman" w:cs="Times New Roman"/>
                              <w:b/>
                              <w:color w:val="76923B"/>
                              <w:sz w:val="20"/>
                            </w:rPr>
                            <w:t>[</w:t>
                          </w:r>
                          <w:r>
                            <w:rPr>
                              <w:rFonts w:ascii="Times New Roman" w:eastAsia="Times New Roman" w:hAnsi="Times New Roman" w:cs="Times New Roman"/>
                              <w:b/>
                              <w:color w:val="000000"/>
                              <w:sz w:val="20"/>
                            </w:rPr>
                            <w:t>PENA JUSTISIA: COMMUNICATION MEDIA AND LEGAL STUDIES</w:t>
                          </w:r>
                          <w:r>
                            <w:rPr>
                              <w:rFonts w:ascii="Times New Roman" w:eastAsia="Times New Roman" w:hAnsi="Times New Roman" w:cs="Times New Roman"/>
                              <w:b/>
                              <w:color w:val="76923B"/>
                              <w:sz w:val="20"/>
                            </w:rPr>
                            <w:t>]</w:t>
                          </w:r>
                        </w:p>
                      </w:txbxContent>
                    </wps:txbx>
                    <wps:bodyPr spcFirstLastPara="1" wrap="square" lIns="0" tIns="0" rIns="0" bIns="0" anchor="t" anchorCtr="0">
                      <a:noAutofit/>
                    </wps:bodyPr>
                  </wps:wsp>
                </a:graphicData>
              </a:graphic>
            </wp:anchor>
          </w:drawing>
        </mc:Choice>
        <mc:Fallback>
          <w:pict>
            <v:rect w14:anchorId="4E200D33" id="Rectangle 2027640344" o:spid="_x0000_s1040" style="position:absolute;margin-left:202pt;margin-top:27.75pt;width:298.3pt;height:14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" filled="f" stroked="f">
              <v:textbox inset="0,0,0,0">
                <w:txbxContent>
                  <w:p w14:paraId="25639222" w14:textId="77777777" w:rsidR="00BC54D9" w:rsidRDefault="00000000">
                    <w:pPr>
                      <w:spacing w:before="5"/>
                      <w:ind w:left="20" w:firstLine="20"/>
                      <w:textDirection w:val="btLr"/>
                    </w:pPr>
                    <w:r>
                      <w:rPr>
                        <w:rFonts w:ascii="Times New Roman" w:eastAsia="Times New Roman" w:hAnsi="Times New Roman" w:cs="Times New Roman"/>
                        <w:b/>
                        <w:color w:val="76923B"/>
                        <w:sz w:val="20"/>
                      </w:rPr>
                      <w:t>[</w:t>
                    </w:r>
                    <w:r>
                      <w:rPr>
                        <w:rFonts w:ascii="Times New Roman" w:eastAsia="Times New Roman" w:hAnsi="Times New Roman" w:cs="Times New Roman"/>
                        <w:b/>
                        <w:color w:val="000000"/>
                        <w:sz w:val="20"/>
                      </w:rPr>
                      <w:t>PENA JUSTISIA: COMMUNICATION MEDIA AND LEGAL STUDIES</w:t>
                    </w:r>
                    <w:r>
                      <w:rPr>
                        <w:rFonts w:ascii="Times New Roman" w:eastAsia="Times New Roman" w:hAnsi="Times New Roman" w:cs="Times New Roman"/>
                        <w:b/>
                        <w:color w:val="76923B"/>
                        <w:sz w:val="20"/>
                      </w:rPr>
                      <w:t>]</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77716"/>
    <w:multiLevelType w:val="hybridMultilevel"/>
    <w:tmpl w:val="36C80BDA"/>
    <w:lvl w:ilvl="0" w:tplc="0409000F">
      <w:start w:val="1"/>
      <w:numFmt w:val="decimal"/>
      <w:lvlText w:val="%1."/>
      <w:lvlJc w:val="left"/>
      <w:pPr>
        <w:ind w:left="1308" w:hanging="360"/>
      </w:pPr>
      <w:rPr>
        <w:rFonts w:hint="default"/>
        <w:spacing w:val="-1"/>
        <w:w w:val="100"/>
        <w:sz w:val="24"/>
        <w:szCs w:val="24"/>
        <w:lang w:val="id" w:eastAsia="en-US" w:bidi="ar-SA"/>
      </w:rPr>
    </w:lvl>
    <w:lvl w:ilvl="1" w:tplc="80F83004">
      <w:numFmt w:val="bullet"/>
      <w:lvlText w:val="•"/>
      <w:lvlJc w:val="left"/>
      <w:pPr>
        <w:ind w:left="2034" w:hanging="360"/>
      </w:pPr>
      <w:rPr>
        <w:rFonts w:hint="default"/>
        <w:lang w:val="id" w:eastAsia="en-US" w:bidi="ar-SA"/>
      </w:rPr>
    </w:lvl>
    <w:lvl w:ilvl="2" w:tplc="9378D0C4">
      <w:numFmt w:val="bullet"/>
      <w:lvlText w:val="•"/>
      <w:lvlJc w:val="left"/>
      <w:pPr>
        <w:ind w:left="2769" w:hanging="360"/>
      </w:pPr>
      <w:rPr>
        <w:rFonts w:hint="default"/>
        <w:lang w:val="id" w:eastAsia="en-US" w:bidi="ar-SA"/>
      </w:rPr>
    </w:lvl>
    <w:lvl w:ilvl="3" w:tplc="9D0AF480">
      <w:numFmt w:val="bullet"/>
      <w:lvlText w:val="•"/>
      <w:lvlJc w:val="left"/>
      <w:pPr>
        <w:ind w:left="3503" w:hanging="360"/>
      </w:pPr>
      <w:rPr>
        <w:rFonts w:hint="default"/>
        <w:lang w:val="id" w:eastAsia="en-US" w:bidi="ar-SA"/>
      </w:rPr>
    </w:lvl>
    <w:lvl w:ilvl="4" w:tplc="89064E88">
      <w:numFmt w:val="bullet"/>
      <w:lvlText w:val="•"/>
      <w:lvlJc w:val="left"/>
      <w:pPr>
        <w:ind w:left="4238" w:hanging="360"/>
      </w:pPr>
      <w:rPr>
        <w:rFonts w:hint="default"/>
        <w:lang w:val="id" w:eastAsia="en-US" w:bidi="ar-SA"/>
      </w:rPr>
    </w:lvl>
    <w:lvl w:ilvl="5" w:tplc="303CBA64">
      <w:numFmt w:val="bullet"/>
      <w:lvlText w:val="•"/>
      <w:lvlJc w:val="left"/>
      <w:pPr>
        <w:ind w:left="4973" w:hanging="360"/>
      </w:pPr>
      <w:rPr>
        <w:rFonts w:hint="default"/>
        <w:lang w:val="id" w:eastAsia="en-US" w:bidi="ar-SA"/>
      </w:rPr>
    </w:lvl>
    <w:lvl w:ilvl="6" w:tplc="37F2CB38">
      <w:numFmt w:val="bullet"/>
      <w:lvlText w:val="•"/>
      <w:lvlJc w:val="left"/>
      <w:pPr>
        <w:ind w:left="5707" w:hanging="360"/>
      </w:pPr>
      <w:rPr>
        <w:rFonts w:hint="default"/>
        <w:lang w:val="id" w:eastAsia="en-US" w:bidi="ar-SA"/>
      </w:rPr>
    </w:lvl>
    <w:lvl w:ilvl="7" w:tplc="A4C48BF8">
      <w:numFmt w:val="bullet"/>
      <w:lvlText w:val="•"/>
      <w:lvlJc w:val="left"/>
      <w:pPr>
        <w:ind w:left="6442" w:hanging="360"/>
      </w:pPr>
      <w:rPr>
        <w:rFonts w:hint="default"/>
        <w:lang w:val="id" w:eastAsia="en-US" w:bidi="ar-SA"/>
      </w:rPr>
    </w:lvl>
    <w:lvl w:ilvl="8" w:tplc="14B49EC8">
      <w:numFmt w:val="bullet"/>
      <w:lvlText w:val="•"/>
      <w:lvlJc w:val="left"/>
      <w:pPr>
        <w:ind w:left="7177" w:hanging="360"/>
      </w:pPr>
      <w:rPr>
        <w:rFonts w:hint="default"/>
        <w:lang w:val="id" w:eastAsia="en-US" w:bidi="ar-SA"/>
      </w:rPr>
    </w:lvl>
  </w:abstractNum>
  <w:abstractNum w:abstractNumId="1" w15:restartNumberingAfterBreak="0">
    <w:nsid w:val="0859694D"/>
    <w:multiLevelType w:val="hybridMultilevel"/>
    <w:tmpl w:val="D97ACFB2"/>
    <w:lvl w:ilvl="0" w:tplc="8A823950">
      <w:start w:val="1"/>
      <w:numFmt w:val="upperLetter"/>
      <w:lvlText w:val="%1."/>
      <w:lvlJc w:val="left"/>
      <w:pPr>
        <w:ind w:left="1015" w:hanging="428"/>
      </w:pPr>
      <w:rPr>
        <w:rFonts w:ascii="Times New Roman" w:eastAsia="Times New Roman" w:hAnsi="Times New Roman" w:cs="Times New Roman" w:hint="default"/>
        <w:spacing w:val="-1"/>
        <w:w w:val="100"/>
        <w:sz w:val="24"/>
        <w:szCs w:val="24"/>
        <w:lang w:val="id" w:eastAsia="en-US" w:bidi="ar-SA"/>
      </w:rPr>
    </w:lvl>
    <w:lvl w:ilvl="1" w:tplc="3676AFBC">
      <w:numFmt w:val="bullet"/>
      <w:lvlText w:val="•"/>
      <w:lvlJc w:val="left"/>
      <w:pPr>
        <w:ind w:left="1782" w:hanging="428"/>
      </w:pPr>
      <w:rPr>
        <w:rFonts w:hint="default"/>
        <w:lang w:val="id" w:eastAsia="en-US" w:bidi="ar-SA"/>
      </w:rPr>
    </w:lvl>
    <w:lvl w:ilvl="2" w:tplc="765414D0">
      <w:numFmt w:val="bullet"/>
      <w:lvlText w:val="•"/>
      <w:lvlJc w:val="left"/>
      <w:pPr>
        <w:ind w:left="2545" w:hanging="428"/>
      </w:pPr>
      <w:rPr>
        <w:rFonts w:hint="default"/>
        <w:lang w:val="id" w:eastAsia="en-US" w:bidi="ar-SA"/>
      </w:rPr>
    </w:lvl>
    <w:lvl w:ilvl="3" w:tplc="E8A6AD28">
      <w:numFmt w:val="bullet"/>
      <w:lvlText w:val="•"/>
      <w:lvlJc w:val="left"/>
      <w:pPr>
        <w:ind w:left="3307" w:hanging="428"/>
      </w:pPr>
      <w:rPr>
        <w:rFonts w:hint="default"/>
        <w:lang w:val="id" w:eastAsia="en-US" w:bidi="ar-SA"/>
      </w:rPr>
    </w:lvl>
    <w:lvl w:ilvl="4" w:tplc="8CC84B9C">
      <w:numFmt w:val="bullet"/>
      <w:lvlText w:val="•"/>
      <w:lvlJc w:val="left"/>
      <w:pPr>
        <w:ind w:left="4070" w:hanging="428"/>
      </w:pPr>
      <w:rPr>
        <w:rFonts w:hint="default"/>
        <w:lang w:val="id" w:eastAsia="en-US" w:bidi="ar-SA"/>
      </w:rPr>
    </w:lvl>
    <w:lvl w:ilvl="5" w:tplc="0248F3C0">
      <w:numFmt w:val="bullet"/>
      <w:lvlText w:val="•"/>
      <w:lvlJc w:val="left"/>
      <w:pPr>
        <w:ind w:left="4833" w:hanging="428"/>
      </w:pPr>
      <w:rPr>
        <w:rFonts w:hint="default"/>
        <w:lang w:val="id" w:eastAsia="en-US" w:bidi="ar-SA"/>
      </w:rPr>
    </w:lvl>
    <w:lvl w:ilvl="6" w:tplc="95406416">
      <w:numFmt w:val="bullet"/>
      <w:lvlText w:val="•"/>
      <w:lvlJc w:val="left"/>
      <w:pPr>
        <w:ind w:left="5595" w:hanging="428"/>
      </w:pPr>
      <w:rPr>
        <w:rFonts w:hint="default"/>
        <w:lang w:val="id" w:eastAsia="en-US" w:bidi="ar-SA"/>
      </w:rPr>
    </w:lvl>
    <w:lvl w:ilvl="7" w:tplc="F79E2D22">
      <w:numFmt w:val="bullet"/>
      <w:lvlText w:val="•"/>
      <w:lvlJc w:val="left"/>
      <w:pPr>
        <w:ind w:left="6358" w:hanging="428"/>
      </w:pPr>
      <w:rPr>
        <w:rFonts w:hint="default"/>
        <w:lang w:val="id" w:eastAsia="en-US" w:bidi="ar-SA"/>
      </w:rPr>
    </w:lvl>
    <w:lvl w:ilvl="8" w:tplc="D05C11AA">
      <w:numFmt w:val="bullet"/>
      <w:lvlText w:val="•"/>
      <w:lvlJc w:val="left"/>
      <w:pPr>
        <w:ind w:left="7121" w:hanging="428"/>
      </w:pPr>
      <w:rPr>
        <w:rFonts w:hint="default"/>
        <w:lang w:val="id" w:eastAsia="en-US" w:bidi="ar-SA"/>
      </w:rPr>
    </w:lvl>
  </w:abstractNum>
  <w:abstractNum w:abstractNumId="2" w15:restartNumberingAfterBreak="0">
    <w:nsid w:val="09066C6B"/>
    <w:multiLevelType w:val="multilevel"/>
    <w:tmpl w:val="8062B848"/>
    <w:lvl w:ilvl="0">
      <w:start w:val="2"/>
      <w:numFmt w:val="decimal"/>
      <w:lvlText w:val="%1"/>
      <w:lvlJc w:val="left"/>
      <w:pPr>
        <w:ind w:left="1721" w:hanging="567"/>
      </w:pPr>
      <w:rPr>
        <w:rFonts w:hint="default"/>
        <w:lang w:val="id" w:eastAsia="en-US" w:bidi="ar-SA"/>
      </w:rPr>
    </w:lvl>
    <w:lvl w:ilvl="1">
      <w:start w:val="4"/>
      <w:numFmt w:val="decimal"/>
      <w:lvlText w:val="%1.%2"/>
      <w:lvlJc w:val="left"/>
      <w:pPr>
        <w:ind w:left="1721" w:hanging="567"/>
      </w:pPr>
      <w:rPr>
        <w:rFonts w:hint="default"/>
        <w:lang w:val="id" w:eastAsia="en-US" w:bidi="ar-SA"/>
      </w:rPr>
    </w:lvl>
    <w:lvl w:ilvl="2">
      <w:start w:val="1"/>
      <w:numFmt w:val="decimal"/>
      <w:lvlText w:val="%1.%2.%3."/>
      <w:lvlJc w:val="left"/>
      <w:pPr>
        <w:ind w:left="1721" w:hanging="567"/>
      </w:pPr>
      <w:rPr>
        <w:rFonts w:ascii="Times New Roman" w:eastAsia="Times New Roman" w:hAnsi="Times New Roman" w:cs="Times New Roman" w:hint="default"/>
        <w:w w:val="100"/>
        <w:sz w:val="24"/>
        <w:szCs w:val="24"/>
        <w:lang w:val="id" w:eastAsia="en-US" w:bidi="ar-SA"/>
      </w:rPr>
    </w:lvl>
    <w:lvl w:ilvl="3">
      <w:start w:val="1"/>
      <w:numFmt w:val="decimal"/>
      <w:lvlText w:val="%4."/>
      <w:lvlJc w:val="left"/>
      <w:pPr>
        <w:ind w:left="1721" w:hanging="360"/>
      </w:pPr>
      <w:rPr>
        <w:rFonts w:ascii="Times New Roman" w:eastAsia="Times New Roman" w:hAnsi="Times New Roman" w:cs="Times New Roman" w:hint="default"/>
        <w:w w:val="100"/>
        <w:sz w:val="24"/>
        <w:szCs w:val="24"/>
        <w:lang w:val="id" w:eastAsia="en-US" w:bidi="ar-SA"/>
      </w:rPr>
    </w:lvl>
    <w:lvl w:ilvl="4">
      <w:numFmt w:val="bullet"/>
      <w:lvlText w:val="•"/>
      <w:lvlJc w:val="left"/>
      <w:pPr>
        <w:ind w:left="4490" w:hanging="360"/>
      </w:pPr>
      <w:rPr>
        <w:rFonts w:hint="default"/>
        <w:lang w:val="id" w:eastAsia="en-US" w:bidi="ar-SA"/>
      </w:rPr>
    </w:lvl>
    <w:lvl w:ilvl="5">
      <w:numFmt w:val="bullet"/>
      <w:lvlText w:val="•"/>
      <w:lvlJc w:val="left"/>
      <w:pPr>
        <w:ind w:left="5183" w:hanging="360"/>
      </w:pPr>
      <w:rPr>
        <w:rFonts w:hint="default"/>
        <w:lang w:val="id" w:eastAsia="en-US" w:bidi="ar-SA"/>
      </w:rPr>
    </w:lvl>
    <w:lvl w:ilvl="6">
      <w:numFmt w:val="bullet"/>
      <w:lvlText w:val="•"/>
      <w:lvlJc w:val="left"/>
      <w:pPr>
        <w:ind w:left="5875" w:hanging="360"/>
      </w:pPr>
      <w:rPr>
        <w:rFonts w:hint="default"/>
        <w:lang w:val="id" w:eastAsia="en-US" w:bidi="ar-SA"/>
      </w:rPr>
    </w:lvl>
    <w:lvl w:ilvl="7">
      <w:numFmt w:val="bullet"/>
      <w:lvlText w:val="•"/>
      <w:lvlJc w:val="left"/>
      <w:pPr>
        <w:ind w:left="6568" w:hanging="360"/>
      </w:pPr>
      <w:rPr>
        <w:rFonts w:hint="default"/>
        <w:lang w:val="id" w:eastAsia="en-US" w:bidi="ar-SA"/>
      </w:rPr>
    </w:lvl>
    <w:lvl w:ilvl="8">
      <w:numFmt w:val="bullet"/>
      <w:lvlText w:val="•"/>
      <w:lvlJc w:val="left"/>
      <w:pPr>
        <w:ind w:left="7261" w:hanging="360"/>
      </w:pPr>
      <w:rPr>
        <w:rFonts w:hint="default"/>
        <w:lang w:val="id" w:eastAsia="en-US" w:bidi="ar-SA"/>
      </w:rPr>
    </w:lvl>
  </w:abstractNum>
  <w:abstractNum w:abstractNumId="3" w15:restartNumberingAfterBreak="0">
    <w:nsid w:val="143E41E3"/>
    <w:multiLevelType w:val="hybridMultilevel"/>
    <w:tmpl w:val="19D0C60C"/>
    <w:lvl w:ilvl="0" w:tplc="0409000F">
      <w:start w:val="1"/>
      <w:numFmt w:val="decimal"/>
      <w:lvlText w:val="%1."/>
      <w:lvlJc w:val="left"/>
      <w:pPr>
        <w:ind w:left="1308" w:hanging="360"/>
      </w:pPr>
      <w:rPr>
        <w:rFonts w:hint="default"/>
        <w:w w:val="100"/>
        <w:sz w:val="24"/>
        <w:szCs w:val="24"/>
        <w:lang w:val="id" w:eastAsia="en-US" w:bidi="ar-SA"/>
      </w:rPr>
    </w:lvl>
    <w:lvl w:ilvl="1" w:tplc="7708CA26">
      <w:start w:val="1"/>
      <w:numFmt w:val="lowerLetter"/>
      <w:lvlText w:val="%2."/>
      <w:lvlJc w:val="left"/>
      <w:pPr>
        <w:ind w:left="2016" w:hanging="360"/>
      </w:pPr>
      <w:rPr>
        <w:rFonts w:ascii="Cambria" w:eastAsia="Times New Roman" w:hAnsi="Cambria" w:cs="Times New Roman" w:hint="default"/>
        <w:spacing w:val="-1"/>
        <w:w w:val="100"/>
        <w:sz w:val="24"/>
        <w:szCs w:val="24"/>
        <w:lang w:val="id" w:eastAsia="en-US" w:bidi="ar-SA"/>
      </w:rPr>
    </w:lvl>
    <w:lvl w:ilvl="2" w:tplc="CCF0AD0C">
      <w:numFmt w:val="bullet"/>
      <w:lvlText w:val="•"/>
      <w:lvlJc w:val="left"/>
      <w:pPr>
        <w:ind w:left="2020" w:hanging="360"/>
      </w:pPr>
      <w:rPr>
        <w:rFonts w:hint="default"/>
        <w:lang w:val="id" w:eastAsia="en-US" w:bidi="ar-SA"/>
      </w:rPr>
    </w:lvl>
    <w:lvl w:ilvl="3" w:tplc="34C495AA">
      <w:numFmt w:val="bullet"/>
      <w:lvlText w:val="•"/>
      <w:lvlJc w:val="left"/>
      <w:pPr>
        <w:ind w:left="2848" w:hanging="360"/>
      </w:pPr>
      <w:rPr>
        <w:rFonts w:hint="default"/>
        <w:lang w:val="id" w:eastAsia="en-US" w:bidi="ar-SA"/>
      </w:rPr>
    </w:lvl>
    <w:lvl w:ilvl="4" w:tplc="0A328CBC">
      <w:numFmt w:val="bullet"/>
      <w:lvlText w:val="•"/>
      <w:lvlJc w:val="left"/>
      <w:pPr>
        <w:ind w:left="3676" w:hanging="360"/>
      </w:pPr>
      <w:rPr>
        <w:rFonts w:hint="default"/>
        <w:lang w:val="id" w:eastAsia="en-US" w:bidi="ar-SA"/>
      </w:rPr>
    </w:lvl>
    <w:lvl w:ilvl="5" w:tplc="72C8FC1A">
      <w:numFmt w:val="bullet"/>
      <w:lvlText w:val="•"/>
      <w:lvlJc w:val="left"/>
      <w:pPr>
        <w:ind w:left="4504" w:hanging="360"/>
      </w:pPr>
      <w:rPr>
        <w:rFonts w:hint="default"/>
        <w:lang w:val="id" w:eastAsia="en-US" w:bidi="ar-SA"/>
      </w:rPr>
    </w:lvl>
    <w:lvl w:ilvl="6" w:tplc="2A4C3518">
      <w:numFmt w:val="bullet"/>
      <w:lvlText w:val="•"/>
      <w:lvlJc w:val="left"/>
      <w:pPr>
        <w:ind w:left="5333" w:hanging="360"/>
      </w:pPr>
      <w:rPr>
        <w:rFonts w:hint="default"/>
        <w:lang w:val="id" w:eastAsia="en-US" w:bidi="ar-SA"/>
      </w:rPr>
    </w:lvl>
    <w:lvl w:ilvl="7" w:tplc="20A8592E">
      <w:numFmt w:val="bullet"/>
      <w:lvlText w:val="•"/>
      <w:lvlJc w:val="left"/>
      <w:pPr>
        <w:ind w:left="6161" w:hanging="360"/>
      </w:pPr>
      <w:rPr>
        <w:rFonts w:hint="default"/>
        <w:lang w:val="id" w:eastAsia="en-US" w:bidi="ar-SA"/>
      </w:rPr>
    </w:lvl>
    <w:lvl w:ilvl="8" w:tplc="ABD21278">
      <w:numFmt w:val="bullet"/>
      <w:lvlText w:val="•"/>
      <w:lvlJc w:val="left"/>
      <w:pPr>
        <w:ind w:left="6989" w:hanging="360"/>
      </w:pPr>
      <w:rPr>
        <w:rFonts w:hint="default"/>
        <w:lang w:val="id" w:eastAsia="en-US" w:bidi="ar-SA"/>
      </w:rPr>
    </w:lvl>
  </w:abstractNum>
  <w:abstractNum w:abstractNumId="4" w15:restartNumberingAfterBreak="0">
    <w:nsid w:val="1CD25F03"/>
    <w:multiLevelType w:val="multilevel"/>
    <w:tmpl w:val="F8EAB224"/>
    <w:lvl w:ilvl="0">
      <w:start w:val="2"/>
      <w:numFmt w:val="decimal"/>
      <w:lvlText w:val="%1."/>
      <w:lvlJc w:val="left"/>
      <w:pPr>
        <w:ind w:left="560" w:hanging="240"/>
      </w:pPr>
      <w:rPr>
        <w:rFonts w:ascii="Palatino Linotype" w:eastAsia="Palatino Linotype" w:hAnsi="Palatino Linotype" w:cs="Palatino Linotype"/>
        <w:b/>
        <w:sz w:val="24"/>
        <w:szCs w:val="24"/>
      </w:rPr>
    </w:lvl>
    <w:lvl w:ilvl="1">
      <w:start w:val="1"/>
      <w:numFmt w:val="decimal"/>
      <w:lvlText w:val="%2."/>
      <w:lvlJc w:val="left"/>
      <w:pPr>
        <w:ind w:left="889" w:hanging="427"/>
      </w:pPr>
      <w:rPr>
        <w:rFonts w:ascii="Cambria" w:eastAsia="Cambria" w:hAnsi="Cambria" w:cs="Cambria"/>
        <w:sz w:val="24"/>
        <w:szCs w:val="24"/>
      </w:rPr>
    </w:lvl>
    <w:lvl w:ilvl="2">
      <w:start w:val="1"/>
      <w:numFmt w:val="decimal"/>
      <w:lvlText w:val="%3."/>
      <w:lvlJc w:val="left"/>
      <w:pPr>
        <w:ind w:left="1763" w:hanging="360"/>
      </w:pPr>
    </w:lvl>
    <w:lvl w:ilvl="3">
      <w:numFmt w:val="bullet"/>
      <w:lvlText w:val="•"/>
      <w:lvlJc w:val="left"/>
      <w:pPr>
        <w:ind w:left="2783" w:hanging="428"/>
      </w:pPr>
    </w:lvl>
    <w:lvl w:ilvl="4">
      <w:numFmt w:val="bullet"/>
      <w:lvlText w:val="•"/>
      <w:lvlJc w:val="left"/>
      <w:pPr>
        <w:ind w:left="3735" w:hanging="428"/>
      </w:pPr>
    </w:lvl>
    <w:lvl w:ilvl="5">
      <w:numFmt w:val="bullet"/>
      <w:lvlText w:val="•"/>
      <w:lvlJc w:val="left"/>
      <w:pPr>
        <w:ind w:left="4687" w:hanging="428"/>
      </w:pPr>
    </w:lvl>
    <w:lvl w:ilvl="6">
      <w:numFmt w:val="bullet"/>
      <w:lvlText w:val="•"/>
      <w:lvlJc w:val="left"/>
      <w:pPr>
        <w:ind w:left="5639" w:hanging="428"/>
      </w:pPr>
    </w:lvl>
    <w:lvl w:ilvl="7">
      <w:numFmt w:val="bullet"/>
      <w:lvlText w:val="•"/>
      <w:lvlJc w:val="left"/>
      <w:pPr>
        <w:ind w:left="6590" w:hanging="428"/>
      </w:pPr>
    </w:lvl>
    <w:lvl w:ilvl="8">
      <w:numFmt w:val="bullet"/>
      <w:lvlText w:val="•"/>
      <w:lvlJc w:val="left"/>
      <w:pPr>
        <w:ind w:left="7542" w:hanging="427"/>
      </w:pPr>
    </w:lvl>
  </w:abstractNum>
  <w:abstractNum w:abstractNumId="5" w15:restartNumberingAfterBreak="0">
    <w:nsid w:val="229F6862"/>
    <w:multiLevelType w:val="multilevel"/>
    <w:tmpl w:val="13B203B4"/>
    <w:lvl w:ilvl="0">
      <w:start w:val="3"/>
      <w:numFmt w:val="decimal"/>
      <w:lvlText w:val="%1"/>
      <w:lvlJc w:val="left"/>
      <w:pPr>
        <w:ind w:left="1555" w:hanging="540"/>
      </w:pPr>
      <w:rPr>
        <w:rFonts w:hint="default"/>
        <w:lang w:val="id" w:eastAsia="en-US" w:bidi="ar-SA"/>
      </w:rPr>
    </w:lvl>
    <w:lvl w:ilvl="1">
      <w:start w:val="1"/>
      <w:numFmt w:val="decimal"/>
      <w:lvlText w:val="%1.%2."/>
      <w:lvlJc w:val="left"/>
      <w:pPr>
        <w:ind w:left="1555" w:hanging="540"/>
      </w:pPr>
      <w:rPr>
        <w:rFonts w:ascii="Times New Roman" w:eastAsia="Times New Roman" w:hAnsi="Times New Roman" w:cs="Times New Roman" w:hint="default"/>
        <w:w w:val="100"/>
        <w:sz w:val="24"/>
        <w:szCs w:val="24"/>
        <w:lang w:val="id" w:eastAsia="en-US" w:bidi="ar-SA"/>
      </w:rPr>
    </w:lvl>
    <w:lvl w:ilvl="2">
      <w:numFmt w:val="bullet"/>
      <w:lvlText w:val="•"/>
      <w:lvlJc w:val="left"/>
      <w:pPr>
        <w:ind w:left="2977" w:hanging="540"/>
      </w:pPr>
      <w:rPr>
        <w:rFonts w:hint="default"/>
        <w:lang w:val="id" w:eastAsia="en-US" w:bidi="ar-SA"/>
      </w:rPr>
    </w:lvl>
    <w:lvl w:ilvl="3">
      <w:numFmt w:val="bullet"/>
      <w:lvlText w:val="•"/>
      <w:lvlJc w:val="left"/>
      <w:pPr>
        <w:ind w:left="3685" w:hanging="540"/>
      </w:pPr>
      <w:rPr>
        <w:rFonts w:hint="default"/>
        <w:lang w:val="id" w:eastAsia="en-US" w:bidi="ar-SA"/>
      </w:rPr>
    </w:lvl>
    <w:lvl w:ilvl="4">
      <w:numFmt w:val="bullet"/>
      <w:lvlText w:val="•"/>
      <w:lvlJc w:val="left"/>
      <w:pPr>
        <w:ind w:left="4394" w:hanging="540"/>
      </w:pPr>
      <w:rPr>
        <w:rFonts w:hint="default"/>
        <w:lang w:val="id" w:eastAsia="en-US" w:bidi="ar-SA"/>
      </w:rPr>
    </w:lvl>
    <w:lvl w:ilvl="5">
      <w:numFmt w:val="bullet"/>
      <w:lvlText w:val="•"/>
      <w:lvlJc w:val="left"/>
      <w:pPr>
        <w:ind w:left="5103" w:hanging="540"/>
      </w:pPr>
      <w:rPr>
        <w:rFonts w:hint="default"/>
        <w:lang w:val="id" w:eastAsia="en-US" w:bidi="ar-SA"/>
      </w:rPr>
    </w:lvl>
    <w:lvl w:ilvl="6">
      <w:numFmt w:val="bullet"/>
      <w:lvlText w:val="•"/>
      <w:lvlJc w:val="left"/>
      <w:pPr>
        <w:ind w:left="5811" w:hanging="540"/>
      </w:pPr>
      <w:rPr>
        <w:rFonts w:hint="default"/>
        <w:lang w:val="id" w:eastAsia="en-US" w:bidi="ar-SA"/>
      </w:rPr>
    </w:lvl>
    <w:lvl w:ilvl="7">
      <w:numFmt w:val="bullet"/>
      <w:lvlText w:val="•"/>
      <w:lvlJc w:val="left"/>
      <w:pPr>
        <w:ind w:left="6520" w:hanging="540"/>
      </w:pPr>
      <w:rPr>
        <w:rFonts w:hint="default"/>
        <w:lang w:val="id" w:eastAsia="en-US" w:bidi="ar-SA"/>
      </w:rPr>
    </w:lvl>
    <w:lvl w:ilvl="8">
      <w:numFmt w:val="bullet"/>
      <w:lvlText w:val="•"/>
      <w:lvlJc w:val="left"/>
      <w:pPr>
        <w:ind w:left="7229" w:hanging="540"/>
      </w:pPr>
      <w:rPr>
        <w:rFonts w:hint="default"/>
        <w:lang w:val="id" w:eastAsia="en-US" w:bidi="ar-SA"/>
      </w:rPr>
    </w:lvl>
  </w:abstractNum>
  <w:abstractNum w:abstractNumId="6" w15:restartNumberingAfterBreak="0">
    <w:nsid w:val="23192F93"/>
    <w:multiLevelType w:val="multilevel"/>
    <w:tmpl w:val="84CACDDA"/>
    <w:lvl w:ilvl="0">
      <w:start w:val="1"/>
      <w:numFmt w:val="decimal"/>
      <w:lvlText w:val="%1"/>
      <w:lvlJc w:val="left"/>
      <w:pPr>
        <w:ind w:left="1582" w:hanging="567"/>
      </w:pPr>
      <w:rPr>
        <w:rFonts w:hint="default"/>
        <w:lang w:val="id" w:eastAsia="en-US" w:bidi="ar-SA"/>
      </w:rPr>
    </w:lvl>
    <w:lvl w:ilvl="1">
      <w:start w:val="1"/>
      <w:numFmt w:val="decimal"/>
      <w:lvlText w:val="%1.%2."/>
      <w:lvlJc w:val="left"/>
      <w:pPr>
        <w:ind w:left="1582" w:hanging="567"/>
      </w:pPr>
      <w:rPr>
        <w:rFonts w:ascii="Times New Roman" w:eastAsia="Times New Roman" w:hAnsi="Times New Roman" w:cs="Times New Roman" w:hint="default"/>
        <w:w w:val="100"/>
        <w:sz w:val="24"/>
        <w:szCs w:val="24"/>
        <w:lang w:val="id" w:eastAsia="en-US" w:bidi="ar-SA"/>
      </w:rPr>
    </w:lvl>
    <w:lvl w:ilvl="2">
      <w:numFmt w:val="bullet"/>
      <w:lvlText w:val="•"/>
      <w:lvlJc w:val="left"/>
      <w:pPr>
        <w:ind w:left="2993" w:hanging="567"/>
      </w:pPr>
      <w:rPr>
        <w:rFonts w:hint="default"/>
        <w:lang w:val="id" w:eastAsia="en-US" w:bidi="ar-SA"/>
      </w:rPr>
    </w:lvl>
    <w:lvl w:ilvl="3">
      <w:numFmt w:val="bullet"/>
      <w:lvlText w:val="•"/>
      <w:lvlJc w:val="left"/>
      <w:pPr>
        <w:ind w:left="3699" w:hanging="567"/>
      </w:pPr>
      <w:rPr>
        <w:rFonts w:hint="default"/>
        <w:lang w:val="id" w:eastAsia="en-US" w:bidi="ar-SA"/>
      </w:rPr>
    </w:lvl>
    <w:lvl w:ilvl="4">
      <w:numFmt w:val="bullet"/>
      <w:lvlText w:val="•"/>
      <w:lvlJc w:val="left"/>
      <w:pPr>
        <w:ind w:left="4406" w:hanging="567"/>
      </w:pPr>
      <w:rPr>
        <w:rFonts w:hint="default"/>
        <w:lang w:val="id" w:eastAsia="en-US" w:bidi="ar-SA"/>
      </w:rPr>
    </w:lvl>
    <w:lvl w:ilvl="5">
      <w:numFmt w:val="bullet"/>
      <w:lvlText w:val="•"/>
      <w:lvlJc w:val="left"/>
      <w:pPr>
        <w:ind w:left="5113" w:hanging="567"/>
      </w:pPr>
      <w:rPr>
        <w:rFonts w:hint="default"/>
        <w:lang w:val="id" w:eastAsia="en-US" w:bidi="ar-SA"/>
      </w:rPr>
    </w:lvl>
    <w:lvl w:ilvl="6">
      <w:numFmt w:val="bullet"/>
      <w:lvlText w:val="•"/>
      <w:lvlJc w:val="left"/>
      <w:pPr>
        <w:ind w:left="5819" w:hanging="567"/>
      </w:pPr>
      <w:rPr>
        <w:rFonts w:hint="default"/>
        <w:lang w:val="id" w:eastAsia="en-US" w:bidi="ar-SA"/>
      </w:rPr>
    </w:lvl>
    <w:lvl w:ilvl="7">
      <w:numFmt w:val="bullet"/>
      <w:lvlText w:val="•"/>
      <w:lvlJc w:val="left"/>
      <w:pPr>
        <w:ind w:left="6526" w:hanging="567"/>
      </w:pPr>
      <w:rPr>
        <w:rFonts w:hint="default"/>
        <w:lang w:val="id" w:eastAsia="en-US" w:bidi="ar-SA"/>
      </w:rPr>
    </w:lvl>
    <w:lvl w:ilvl="8">
      <w:numFmt w:val="bullet"/>
      <w:lvlText w:val="•"/>
      <w:lvlJc w:val="left"/>
      <w:pPr>
        <w:ind w:left="7233" w:hanging="567"/>
      </w:pPr>
      <w:rPr>
        <w:rFonts w:hint="default"/>
        <w:lang w:val="id" w:eastAsia="en-US" w:bidi="ar-SA"/>
      </w:rPr>
    </w:lvl>
  </w:abstractNum>
  <w:abstractNum w:abstractNumId="7" w15:restartNumberingAfterBreak="0">
    <w:nsid w:val="28D51E3E"/>
    <w:multiLevelType w:val="multilevel"/>
    <w:tmpl w:val="F0DCEF10"/>
    <w:lvl w:ilvl="0">
      <w:start w:val="1"/>
      <w:numFmt w:val="decimal"/>
      <w:lvlText w:val="%1."/>
      <w:lvlJc w:val="left"/>
      <w:pPr>
        <w:ind w:left="889" w:hanging="427"/>
      </w:pPr>
      <w:rPr>
        <w:rFonts w:ascii="Cambria" w:eastAsia="Cambria" w:hAnsi="Cambria" w:cs="Cambria"/>
        <w:sz w:val="24"/>
        <w:szCs w:val="24"/>
      </w:rPr>
    </w:lvl>
    <w:lvl w:ilvl="1">
      <w:numFmt w:val="bullet"/>
      <w:lvlText w:val="•"/>
      <w:lvlJc w:val="left"/>
      <w:pPr>
        <w:ind w:left="1736" w:hanging="428"/>
      </w:pPr>
    </w:lvl>
    <w:lvl w:ilvl="2">
      <w:numFmt w:val="bullet"/>
      <w:lvlText w:val="•"/>
      <w:lvlJc w:val="left"/>
      <w:pPr>
        <w:ind w:left="2593" w:hanging="428"/>
      </w:pPr>
    </w:lvl>
    <w:lvl w:ilvl="3">
      <w:numFmt w:val="bullet"/>
      <w:lvlText w:val="•"/>
      <w:lvlJc w:val="left"/>
      <w:pPr>
        <w:ind w:left="3449" w:hanging="428"/>
      </w:pPr>
    </w:lvl>
    <w:lvl w:ilvl="4">
      <w:numFmt w:val="bullet"/>
      <w:lvlText w:val="•"/>
      <w:lvlJc w:val="left"/>
      <w:pPr>
        <w:ind w:left="4306" w:hanging="428"/>
      </w:pPr>
    </w:lvl>
    <w:lvl w:ilvl="5">
      <w:numFmt w:val="bullet"/>
      <w:lvlText w:val="•"/>
      <w:lvlJc w:val="left"/>
      <w:pPr>
        <w:ind w:left="5163" w:hanging="428"/>
      </w:pPr>
    </w:lvl>
    <w:lvl w:ilvl="6">
      <w:numFmt w:val="bullet"/>
      <w:lvlText w:val="•"/>
      <w:lvlJc w:val="left"/>
      <w:pPr>
        <w:ind w:left="6019" w:hanging="428"/>
      </w:pPr>
    </w:lvl>
    <w:lvl w:ilvl="7">
      <w:numFmt w:val="bullet"/>
      <w:lvlText w:val="•"/>
      <w:lvlJc w:val="left"/>
      <w:pPr>
        <w:ind w:left="6876" w:hanging="427"/>
      </w:pPr>
    </w:lvl>
    <w:lvl w:ilvl="8">
      <w:numFmt w:val="bullet"/>
      <w:lvlText w:val="•"/>
      <w:lvlJc w:val="left"/>
      <w:pPr>
        <w:ind w:left="7733" w:hanging="428"/>
      </w:pPr>
    </w:lvl>
  </w:abstractNum>
  <w:abstractNum w:abstractNumId="8" w15:restartNumberingAfterBreak="0">
    <w:nsid w:val="2A1B1352"/>
    <w:multiLevelType w:val="multilevel"/>
    <w:tmpl w:val="F8EAB224"/>
    <w:lvl w:ilvl="0">
      <w:start w:val="2"/>
      <w:numFmt w:val="decimal"/>
      <w:lvlText w:val="%1."/>
      <w:lvlJc w:val="left"/>
      <w:pPr>
        <w:ind w:left="560" w:hanging="240"/>
      </w:pPr>
      <w:rPr>
        <w:rFonts w:ascii="Palatino Linotype" w:eastAsia="Palatino Linotype" w:hAnsi="Palatino Linotype" w:cs="Palatino Linotype"/>
        <w:b/>
        <w:sz w:val="24"/>
        <w:szCs w:val="24"/>
      </w:rPr>
    </w:lvl>
    <w:lvl w:ilvl="1">
      <w:start w:val="1"/>
      <w:numFmt w:val="decimal"/>
      <w:lvlText w:val="%2."/>
      <w:lvlJc w:val="left"/>
      <w:pPr>
        <w:ind w:left="889" w:hanging="427"/>
      </w:pPr>
      <w:rPr>
        <w:rFonts w:ascii="Cambria" w:eastAsia="Cambria" w:hAnsi="Cambria" w:cs="Cambria"/>
        <w:sz w:val="24"/>
        <w:szCs w:val="24"/>
      </w:rPr>
    </w:lvl>
    <w:lvl w:ilvl="2">
      <w:start w:val="1"/>
      <w:numFmt w:val="decimal"/>
      <w:lvlText w:val="%3."/>
      <w:lvlJc w:val="left"/>
      <w:pPr>
        <w:ind w:left="1763" w:hanging="360"/>
      </w:pPr>
    </w:lvl>
    <w:lvl w:ilvl="3">
      <w:numFmt w:val="bullet"/>
      <w:lvlText w:val="•"/>
      <w:lvlJc w:val="left"/>
      <w:pPr>
        <w:ind w:left="2783" w:hanging="428"/>
      </w:pPr>
    </w:lvl>
    <w:lvl w:ilvl="4">
      <w:numFmt w:val="bullet"/>
      <w:lvlText w:val="•"/>
      <w:lvlJc w:val="left"/>
      <w:pPr>
        <w:ind w:left="3735" w:hanging="428"/>
      </w:pPr>
    </w:lvl>
    <w:lvl w:ilvl="5">
      <w:numFmt w:val="bullet"/>
      <w:lvlText w:val="•"/>
      <w:lvlJc w:val="left"/>
      <w:pPr>
        <w:ind w:left="4687" w:hanging="428"/>
      </w:pPr>
    </w:lvl>
    <w:lvl w:ilvl="6">
      <w:numFmt w:val="bullet"/>
      <w:lvlText w:val="•"/>
      <w:lvlJc w:val="left"/>
      <w:pPr>
        <w:ind w:left="5639" w:hanging="428"/>
      </w:pPr>
    </w:lvl>
    <w:lvl w:ilvl="7">
      <w:numFmt w:val="bullet"/>
      <w:lvlText w:val="•"/>
      <w:lvlJc w:val="left"/>
      <w:pPr>
        <w:ind w:left="6590" w:hanging="428"/>
      </w:pPr>
    </w:lvl>
    <w:lvl w:ilvl="8">
      <w:numFmt w:val="bullet"/>
      <w:lvlText w:val="•"/>
      <w:lvlJc w:val="left"/>
      <w:pPr>
        <w:ind w:left="7542" w:hanging="427"/>
      </w:pPr>
    </w:lvl>
  </w:abstractNum>
  <w:abstractNum w:abstractNumId="9" w15:restartNumberingAfterBreak="0">
    <w:nsid w:val="2FD374B3"/>
    <w:multiLevelType w:val="multilevel"/>
    <w:tmpl w:val="A92EE9BA"/>
    <w:lvl w:ilvl="0">
      <w:start w:val="3"/>
      <w:numFmt w:val="decimal"/>
      <w:lvlText w:val="%1"/>
      <w:lvlJc w:val="left"/>
      <w:pPr>
        <w:ind w:left="1308" w:hanging="720"/>
      </w:pPr>
      <w:rPr>
        <w:rFonts w:hint="default"/>
        <w:lang w:val="id" w:eastAsia="en-US" w:bidi="ar-SA"/>
      </w:rPr>
    </w:lvl>
    <w:lvl w:ilvl="1">
      <w:start w:val="1"/>
      <w:numFmt w:val="decimal"/>
      <w:lvlText w:val="%1.%2."/>
      <w:lvlJc w:val="left"/>
      <w:pPr>
        <w:ind w:left="1308" w:hanging="720"/>
      </w:pPr>
      <w:rPr>
        <w:rFonts w:ascii="Times New Roman" w:eastAsia="Times New Roman" w:hAnsi="Times New Roman" w:cs="Times New Roman" w:hint="default"/>
        <w:b/>
        <w:bCs/>
        <w:w w:val="100"/>
        <w:sz w:val="24"/>
        <w:szCs w:val="24"/>
        <w:lang w:val="id" w:eastAsia="en-US" w:bidi="ar-SA"/>
      </w:rPr>
    </w:lvl>
    <w:lvl w:ilvl="2">
      <w:numFmt w:val="bullet"/>
      <w:lvlText w:val="•"/>
      <w:lvlJc w:val="left"/>
      <w:pPr>
        <w:ind w:left="1507" w:hanging="720"/>
      </w:pPr>
      <w:rPr>
        <w:rFonts w:hint="default"/>
        <w:lang w:val="id" w:eastAsia="en-US" w:bidi="ar-SA"/>
      </w:rPr>
    </w:lvl>
    <w:lvl w:ilvl="3">
      <w:numFmt w:val="bullet"/>
      <w:lvlText w:val="•"/>
      <w:lvlJc w:val="left"/>
      <w:pPr>
        <w:ind w:left="1610" w:hanging="720"/>
      </w:pPr>
      <w:rPr>
        <w:rFonts w:hint="default"/>
        <w:lang w:val="id" w:eastAsia="en-US" w:bidi="ar-SA"/>
      </w:rPr>
    </w:lvl>
    <w:lvl w:ilvl="4">
      <w:numFmt w:val="bullet"/>
      <w:lvlText w:val="•"/>
      <w:lvlJc w:val="left"/>
      <w:pPr>
        <w:ind w:left="1714" w:hanging="720"/>
      </w:pPr>
      <w:rPr>
        <w:rFonts w:hint="default"/>
        <w:lang w:val="id" w:eastAsia="en-US" w:bidi="ar-SA"/>
      </w:rPr>
    </w:lvl>
    <w:lvl w:ilvl="5">
      <w:numFmt w:val="bullet"/>
      <w:lvlText w:val="•"/>
      <w:lvlJc w:val="left"/>
      <w:pPr>
        <w:ind w:left="1817" w:hanging="720"/>
      </w:pPr>
      <w:rPr>
        <w:rFonts w:hint="default"/>
        <w:lang w:val="id" w:eastAsia="en-US" w:bidi="ar-SA"/>
      </w:rPr>
    </w:lvl>
    <w:lvl w:ilvl="6">
      <w:numFmt w:val="bullet"/>
      <w:lvlText w:val="•"/>
      <w:lvlJc w:val="left"/>
      <w:pPr>
        <w:ind w:left="1921" w:hanging="720"/>
      </w:pPr>
      <w:rPr>
        <w:rFonts w:hint="default"/>
        <w:lang w:val="id" w:eastAsia="en-US" w:bidi="ar-SA"/>
      </w:rPr>
    </w:lvl>
    <w:lvl w:ilvl="7">
      <w:numFmt w:val="bullet"/>
      <w:lvlText w:val="•"/>
      <w:lvlJc w:val="left"/>
      <w:pPr>
        <w:ind w:left="2024" w:hanging="720"/>
      </w:pPr>
      <w:rPr>
        <w:rFonts w:hint="default"/>
        <w:lang w:val="id" w:eastAsia="en-US" w:bidi="ar-SA"/>
      </w:rPr>
    </w:lvl>
    <w:lvl w:ilvl="8">
      <w:numFmt w:val="bullet"/>
      <w:lvlText w:val="•"/>
      <w:lvlJc w:val="left"/>
      <w:pPr>
        <w:ind w:left="2128" w:hanging="720"/>
      </w:pPr>
      <w:rPr>
        <w:rFonts w:hint="default"/>
        <w:lang w:val="id" w:eastAsia="en-US" w:bidi="ar-SA"/>
      </w:rPr>
    </w:lvl>
  </w:abstractNum>
  <w:abstractNum w:abstractNumId="10" w15:restartNumberingAfterBreak="0">
    <w:nsid w:val="315015DE"/>
    <w:multiLevelType w:val="hybridMultilevel"/>
    <w:tmpl w:val="27181F96"/>
    <w:lvl w:ilvl="0" w:tplc="33B86990">
      <w:start w:val="1"/>
      <w:numFmt w:val="decimal"/>
      <w:lvlText w:val="(%1)"/>
      <w:lvlJc w:val="left"/>
      <w:pPr>
        <w:ind w:left="1721" w:hanging="360"/>
      </w:pPr>
      <w:rPr>
        <w:rFonts w:ascii="Times New Roman" w:eastAsia="Times New Roman" w:hAnsi="Times New Roman" w:cs="Times New Roman" w:hint="default"/>
        <w:i/>
        <w:iCs/>
        <w:spacing w:val="-4"/>
        <w:w w:val="100"/>
        <w:sz w:val="24"/>
        <w:szCs w:val="24"/>
        <w:lang w:val="id" w:eastAsia="en-US" w:bidi="ar-SA"/>
      </w:rPr>
    </w:lvl>
    <w:lvl w:ilvl="1" w:tplc="2E1687D2">
      <w:numFmt w:val="bullet"/>
      <w:lvlText w:val="•"/>
      <w:lvlJc w:val="left"/>
      <w:pPr>
        <w:ind w:left="2412" w:hanging="360"/>
      </w:pPr>
      <w:rPr>
        <w:rFonts w:hint="default"/>
        <w:lang w:val="id" w:eastAsia="en-US" w:bidi="ar-SA"/>
      </w:rPr>
    </w:lvl>
    <w:lvl w:ilvl="2" w:tplc="23A25F58">
      <w:numFmt w:val="bullet"/>
      <w:lvlText w:val="•"/>
      <w:lvlJc w:val="left"/>
      <w:pPr>
        <w:ind w:left="3105" w:hanging="360"/>
      </w:pPr>
      <w:rPr>
        <w:rFonts w:hint="default"/>
        <w:lang w:val="id" w:eastAsia="en-US" w:bidi="ar-SA"/>
      </w:rPr>
    </w:lvl>
    <w:lvl w:ilvl="3" w:tplc="3BA6A818">
      <w:numFmt w:val="bullet"/>
      <w:lvlText w:val="•"/>
      <w:lvlJc w:val="left"/>
      <w:pPr>
        <w:ind w:left="3797" w:hanging="360"/>
      </w:pPr>
      <w:rPr>
        <w:rFonts w:hint="default"/>
        <w:lang w:val="id" w:eastAsia="en-US" w:bidi="ar-SA"/>
      </w:rPr>
    </w:lvl>
    <w:lvl w:ilvl="4" w:tplc="284A209E">
      <w:numFmt w:val="bullet"/>
      <w:lvlText w:val="•"/>
      <w:lvlJc w:val="left"/>
      <w:pPr>
        <w:ind w:left="4490" w:hanging="360"/>
      </w:pPr>
      <w:rPr>
        <w:rFonts w:hint="default"/>
        <w:lang w:val="id" w:eastAsia="en-US" w:bidi="ar-SA"/>
      </w:rPr>
    </w:lvl>
    <w:lvl w:ilvl="5" w:tplc="CEDAFECC">
      <w:numFmt w:val="bullet"/>
      <w:lvlText w:val="•"/>
      <w:lvlJc w:val="left"/>
      <w:pPr>
        <w:ind w:left="5183" w:hanging="360"/>
      </w:pPr>
      <w:rPr>
        <w:rFonts w:hint="default"/>
        <w:lang w:val="id" w:eastAsia="en-US" w:bidi="ar-SA"/>
      </w:rPr>
    </w:lvl>
    <w:lvl w:ilvl="6" w:tplc="705E59E4">
      <w:numFmt w:val="bullet"/>
      <w:lvlText w:val="•"/>
      <w:lvlJc w:val="left"/>
      <w:pPr>
        <w:ind w:left="5875" w:hanging="360"/>
      </w:pPr>
      <w:rPr>
        <w:rFonts w:hint="default"/>
        <w:lang w:val="id" w:eastAsia="en-US" w:bidi="ar-SA"/>
      </w:rPr>
    </w:lvl>
    <w:lvl w:ilvl="7" w:tplc="D0E43BD6">
      <w:numFmt w:val="bullet"/>
      <w:lvlText w:val="•"/>
      <w:lvlJc w:val="left"/>
      <w:pPr>
        <w:ind w:left="6568" w:hanging="360"/>
      </w:pPr>
      <w:rPr>
        <w:rFonts w:hint="default"/>
        <w:lang w:val="id" w:eastAsia="en-US" w:bidi="ar-SA"/>
      </w:rPr>
    </w:lvl>
    <w:lvl w:ilvl="8" w:tplc="FB56CCFA">
      <w:numFmt w:val="bullet"/>
      <w:lvlText w:val="•"/>
      <w:lvlJc w:val="left"/>
      <w:pPr>
        <w:ind w:left="7261" w:hanging="360"/>
      </w:pPr>
      <w:rPr>
        <w:rFonts w:hint="default"/>
        <w:lang w:val="id" w:eastAsia="en-US" w:bidi="ar-SA"/>
      </w:rPr>
    </w:lvl>
  </w:abstractNum>
  <w:abstractNum w:abstractNumId="11" w15:restartNumberingAfterBreak="0">
    <w:nsid w:val="39162F99"/>
    <w:multiLevelType w:val="multilevel"/>
    <w:tmpl w:val="11203536"/>
    <w:lvl w:ilvl="0">
      <w:start w:val="2"/>
      <w:numFmt w:val="decimal"/>
      <w:lvlText w:val="%1."/>
      <w:lvlJc w:val="left"/>
      <w:pPr>
        <w:ind w:left="560" w:hanging="240"/>
      </w:pPr>
      <w:rPr>
        <w:rFonts w:ascii="Palatino Linotype" w:eastAsia="Palatino Linotype" w:hAnsi="Palatino Linotype" w:cs="Palatino Linotype"/>
        <w:b/>
        <w:sz w:val="24"/>
        <w:szCs w:val="24"/>
      </w:rPr>
    </w:lvl>
    <w:lvl w:ilvl="1">
      <w:start w:val="1"/>
      <w:numFmt w:val="decimal"/>
      <w:lvlText w:val="%2."/>
      <w:lvlJc w:val="left"/>
      <w:pPr>
        <w:ind w:left="889" w:hanging="427"/>
      </w:pPr>
      <w:rPr>
        <w:rFonts w:ascii="Cambria" w:eastAsia="Cambria" w:hAnsi="Cambria" w:cs="Cambria"/>
        <w:sz w:val="24"/>
        <w:szCs w:val="24"/>
      </w:rPr>
    </w:lvl>
    <w:lvl w:ilvl="2">
      <w:numFmt w:val="bullet"/>
      <w:lvlText w:val="•"/>
      <w:lvlJc w:val="left"/>
      <w:pPr>
        <w:ind w:left="1831" w:hanging="428"/>
      </w:pPr>
    </w:lvl>
    <w:lvl w:ilvl="3">
      <w:numFmt w:val="bullet"/>
      <w:lvlText w:val="•"/>
      <w:lvlJc w:val="left"/>
      <w:pPr>
        <w:ind w:left="2783" w:hanging="428"/>
      </w:pPr>
    </w:lvl>
    <w:lvl w:ilvl="4">
      <w:numFmt w:val="bullet"/>
      <w:lvlText w:val="•"/>
      <w:lvlJc w:val="left"/>
      <w:pPr>
        <w:ind w:left="3735" w:hanging="428"/>
      </w:pPr>
    </w:lvl>
    <w:lvl w:ilvl="5">
      <w:numFmt w:val="bullet"/>
      <w:lvlText w:val="•"/>
      <w:lvlJc w:val="left"/>
      <w:pPr>
        <w:ind w:left="4687" w:hanging="428"/>
      </w:pPr>
    </w:lvl>
    <w:lvl w:ilvl="6">
      <w:numFmt w:val="bullet"/>
      <w:lvlText w:val="•"/>
      <w:lvlJc w:val="left"/>
      <w:pPr>
        <w:ind w:left="5639" w:hanging="428"/>
      </w:pPr>
    </w:lvl>
    <w:lvl w:ilvl="7">
      <w:numFmt w:val="bullet"/>
      <w:lvlText w:val="•"/>
      <w:lvlJc w:val="left"/>
      <w:pPr>
        <w:ind w:left="6590" w:hanging="428"/>
      </w:pPr>
    </w:lvl>
    <w:lvl w:ilvl="8">
      <w:numFmt w:val="bullet"/>
      <w:lvlText w:val="•"/>
      <w:lvlJc w:val="left"/>
      <w:pPr>
        <w:ind w:left="7542" w:hanging="427"/>
      </w:pPr>
    </w:lvl>
  </w:abstractNum>
  <w:abstractNum w:abstractNumId="12" w15:restartNumberingAfterBreak="0">
    <w:nsid w:val="4134390D"/>
    <w:multiLevelType w:val="hybridMultilevel"/>
    <w:tmpl w:val="17767C56"/>
    <w:lvl w:ilvl="0" w:tplc="42541F16">
      <w:start w:val="1"/>
      <w:numFmt w:val="decimal"/>
      <w:lvlText w:val="%1."/>
      <w:lvlJc w:val="left"/>
      <w:pPr>
        <w:ind w:left="1564" w:hanging="428"/>
      </w:pPr>
      <w:rPr>
        <w:rFonts w:ascii="Cambria" w:eastAsia="Cambria" w:hAnsi="Cambria" w:cs="Cambria"/>
        <w:w w:val="100"/>
        <w:sz w:val="24"/>
        <w:szCs w:val="24"/>
        <w:lang w:val="id" w:eastAsia="en-US" w:bidi="ar-SA"/>
      </w:rPr>
    </w:lvl>
    <w:lvl w:ilvl="1" w:tplc="294815B0">
      <w:numFmt w:val="bullet"/>
      <w:lvlText w:val="•"/>
      <w:lvlJc w:val="left"/>
      <w:pPr>
        <w:ind w:left="2331" w:hanging="428"/>
      </w:pPr>
      <w:rPr>
        <w:rFonts w:hint="default"/>
        <w:lang w:val="id" w:eastAsia="en-US" w:bidi="ar-SA"/>
      </w:rPr>
    </w:lvl>
    <w:lvl w:ilvl="2" w:tplc="82DA485C">
      <w:numFmt w:val="bullet"/>
      <w:lvlText w:val="•"/>
      <w:lvlJc w:val="left"/>
      <w:pPr>
        <w:ind w:left="3094" w:hanging="428"/>
      </w:pPr>
      <w:rPr>
        <w:rFonts w:hint="default"/>
        <w:lang w:val="id" w:eastAsia="en-US" w:bidi="ar-SA"/>
      </w:rPr>
    </w:lvl>
    <w:lvl w:ilvl="3" w:tplc="642C4EC6">
      <w:numFmt w:val="bullet"/>
      <w:lvlText w:val="•"/>
      <w:lvlJc w:val="left"/>
      <w:pPr>
        <w:ind w:left="3856" w:hanging="428"/>
      </w:pPr>
      <w:rPr>
        <w:rFonts w:hint="default"/>
        <w:lang w:val="id" w:eastAsia="en-US" w:bidi="ar-SA"/>
      </w:rPr>
    </w:lvl>
    <w:lvl w:ilvl="4" w:tplc="6E2E7692">
      <w:numFmt w:val="bullet"/>
      <w:lvlText w:val="•"/>
      <w:lvlJc w:val="left"/>
      <w:pPr>
        <w:ind w:left="4619" w:hanging="428"/>
      </w:pPr>
      <w:rPr>
        <w:rFonts w:hint="default"/>
        <w:lang w:val="id" w:eastAsia="en-US" w:bidi="ar-SA"/>
      </w:rPr>
    </w:lvl>
    <w:lvl w:ilvl="5" w:tplc="5136FA34">
      <w:numFmt w:val="bullet"/>
      <w:lvlText w:val="•"/>
      <w:lvlJc w:val="left"/>
      <w:pPr>
        <w:ind w:left="5382" w:hanging="428"/>
      </w:pPr>
      <w:rPr>
        <w:rFonts w:hint="default"/>
        <w:lang w:val="id" w:eastAsia="en-US" w:bidi="ar-SA"/>
      </w:rPr>
    </w:lvl>
    <w:lvl w:ilvl="6" w:tplc="5F5E26DE">
      <w:numFmt w:val="bullet"/>
      <w:lvlText w:val="•"/>
      <w:lvlJc w:val="left"/>
      <w:pPr>
        <w:ind w:left="6144" w:hanging="428"/>
      </w:pPr>
      <w:rPr>
        <w:rFonts w:hint="default"/>
        <w:lang w:val="id" w:eastAsia="en-US" w:bidi="ar-SA"/>
      </w:rPr>
    </w:lvl>
    <w:lvl w:ilvl="7" w:tplc="58BA57C6">
      <w:numFmt w:val="bullet"/>
      <w:lvlText w:val="•"/>
      <w:lvlJc w:val="left"/>
      <w:pPr>
        <w:ind w:left="6907" w:hanging="428"/>
      </w:pPr>
      <w:rPr>
        <w:rFonts w:hint="default"/>
        <w:lang w:val="id" w:eastAsia="en-US" w:bidi="ar-SA"/>
      </w:rPr>
    </w:lvl>
    <w:lvl w:ilvl="8" w:tplc="AFB2BB62">
      <w:numFmt w:val="bullet"/>
      <w:lvlText w:val="•"/>
      <w:lvlJc w:val="left"/>
      <w:pPr>
        <w:ind w:left="7670" w:hanging="428"/>
      </w:pPr>
      <w:rPr>
        <w:rFonts w:hint="default"/>
        <w:lang w:val="id" w:eastAsia="en-US" w:bidi="ar-SA"/>
      </w:rPr>
    </w:lvl>
  </w:abstractNum>
  <w:abstractNum w:abstractNumId="13" w15:restartNumberingAfterBreak="0">
    <w:nsid w:val="4FE13275"/>
    <w:multiLevelType w:val="multilevel"/>
    <w:tmpl w:val="EE34F2A8"/>
    <w:lvl w:ilvl="0">
      <w:start w:val="1"/>
      <w:numFmt w:val="decimal"/>
      <w:lvlText w:val="%1."/>
      <w:lvlJc w:val="left"/>
      <w:pPr>
        <w:ind w:left="889" w:hanging="427"/>
      </w:pPr>
      <w:rPr>
        <w:rFonts w:ascii="Cambria" w:eastAsia="Cambria" w:hAnsi="Cambria" w:cs="Cambria"/>
        <w:sz w:val="24"/>
        <w:szCs w:val="24"/>
      </w:rPr>
    </w:lvl>
    <w:lvl w:ilvl="1">
      <w:numFmt w:val="bullet"/>
      <w:lvlText w:val="•"/>
      <w:lvlJc w:val="left"/>
      <w:pPr>
        <w:ind w:left="1736" w:hanging="428"/>
      </w:pPr>
    </w:lvl>
    <w:lvl w:ilvl="2">
      <w:numFmt w:val="bullet"/>
      <w:lvlText w:val="•"/>
      <w:lvlJc w:val="left"/>
      <w:pPr>
        <w:ind w:left="2593" w:hanging="428"/>
      </w:pPr>
    </w:lvl>
    <w:lvl w:ilvl="3">
      <w:numFmt w:val="bullet"/>
      <w:lvlText w:val="•"/>
      <w:lvlJc w:val="left"/>
      <w:pPr>
        <w:ind w:left="3449" w:hanging="428"/>
      </w:pPr>
    </w:lvl>
    <w:lvl w:ilvl="4">
      <w:numFmt w:val="bullet"/>
      <w:lvlText w:val="•"/>
      <w:lvlJc w:val="left"/>
      <w:pPr>
        <w:ind w:left="4306" w:hanging="428"/>
      </w:pPr>
    </w:lvl>
    <w:lvl w:ilvl="5">
      <w:numFmt w:val="bullet"/>
      <w:lvlText w:val="•"/>
      <w:lvlJc w:val="left"/>
      <w:pPr>
        <w:ind w:left="5163" w:hanging="428"/>
      </w:pPr>
    </w:lvl>
    <w:lvl w:ilvl="6">
      <w:numFmt w:val="bullet"/>
      <w:lvlText w:val="•"/>
      <w:lvlJc w:val="left"/>
      <w:pPr>
        <w:ind w:left="6019" w:hanging="428"/>
      </w:pPr>
    </w:lvl>
    <w:lvl w:ilvl="7">
      <w:numFmt w:val="bullet"/>
      <w:lvlText w:val="•"/>
      <w:lvlJc w:val="left"/>
      <w:pPr>
        <w:ind w:left="6876" w:hanging="427"/>
      </w:pPr>
    </w:lvl>
    <w:lvl w:ilvl="8">
      <w:numFmt w:val="bullet"/>
      <w:lvlText w:val="•"/>
      <w:lvlJc w:val="left"/>
      <w:pPr>
        <w:ind w:left="7733" w:hanging="428"/>
      </w:pPr>
    </w:lvl>
  </w:abstractNum>
  <w:abstractNum w:abstractNumId="14" w15:restartNumberingAfterBreak="0">
    <w:nsid w:val="5A065CBC"/>
    <w:multiLevelType w:val="multilevel"/>
    <w:tmpl w:val="49048B92"/>
    <w:lvl w:ilvl="0">
      <w:start w:val="2"/>
      <w:numFmt w:val="decimal"/>
      <w:lvlText w:val="%1"/>
      <w:lvlJc w:val="left"/>
      <w:pPr>
        <w:ind w:left="1582" w:hanging="567"/>
      </w:pPr>
      <w:rPr>
        <w:rFonts w:hint="default"/>
        <w:lang w:val="id" w:eastAsia="en-US" w:bidi="ar-SA"/>
      </w:rPr>
    </w:lvl>
    <w:lvl w:ilvl="1">
      <w:start w:val="1"/>
      <w:numFmt w:val="decimal"/>
      <w:lvlText w:val="%1.%2."/>
      <w:lvlJc w:val="left"/>
      <w:pPr>
        <w:ind w:left="1582" w:hanging="567"/>
      </w:pPr>
      <w:rPr>
        <w:rFonts w:ascii="Times New Roman" w:eastAsia="Times New Roman" w:hAnsi="Times New Roman" w:cs="Times New Roman" w:hint="default"/>
        <w:w w:val="100"/>
        <w:sz w:val="24"/>
        <w:szCs w:val="24"/>
        <w:lang w:val="id" w:eastAsia="en-US" w:bidi="ar-SA"/>
      </w:rPr>
    </w:lvl>
    <w:lvl w:ilvl="2">
      <w:numFmt w:val="bullet"/>
      <w:lvlText w:val="•"/>
      <w:lvlJc w:val="left"/>
      <w:pPr>
        <w:ind w:left="2993" w:hanging="567"/>
      </w:pPr>
      <w:rPr>
        <w:rFonts w:hint="default"/>
        <w:lang w:val="id" w:eastAsia="en-US" w:bidi="ar-SA"/>
      </w:rPr>
    </w:lvl>
    <w:lvl w:ilvl="3">
      <w:numFmt w:val="bullet"/>
      <w:lvlText w:val="•"/>
      <w:lvlJc w:val="left"/>
      <w:pPr>
        <w:ind w:left="3699" w:hanging="567"/>
      </w:pPr>
      <w:rPr>
        <w:rFonts w:hint="default"/>
        <w:lang w:val="id" w:eastAsia="en-US" w:bidi="ar-SA"/>
      </w:rPr>
    </w:lvl>
    <w:lvl w:ilvl="4">
      <w:numFmt w:val="bullet"/>
      <w:lvlText w:val="•"/>
      <w:lvlJc w:val="left"/>
      <w:pPr>
        <w:ind w:left="4406" w:hanging="567"/>
      </w:pPr>
      <w:rPr>
        <w:rFonts w:hint="default"/>
        <w:lang w:val="id" w:eastAsia="en-US" w:bidi="ar-SA"/>
      </w:rPr>
    </w:lvl>
    <w:lvl w:ilvl="5">
      <w:numFmt w:val="bullet"/>
      <w:lvlText w:val="•"/>
      <w:lvlJc w:val="left"/>
      <w:pPr>
        <w:ind w:left="5113" w:hanging="567"/>
      </w:pPr>
      <w:rPr>
        <w:rFonts w:hint="default"/>
        <w:lang w:val="id" w:eastAsia="en-US" w:bidi="ar-SA"/>
      </w:rPr>
    </w:lvl>
    <w:lvl w:ilvl="6">
      <w:numFmt w:val="bullet"/>
      <w:lvlText w:val="•"/>
      <w:lvlJc w:val="left"/>
      <w:pPr>
        <w:ind w:left="5819" w:hanging="567"/>
      </w:pPr>
      <w:rPr>
        <w:rFonts w:hint="default"/>
        <w:lang w:val="id" w:eastAsia="en-US" w:bidi="ar-SA"/>
      </w:rPr>
    </w:lvl>
    <w:lvl w:ilvl="7">
      <w:numFmt w:val="bullet"/>
      <w:lvlText w:val="•"/>
      <w:lvlJc w:val="left"/>
      <w:pPr>
        <w:ind w:left="6526" w:hanging="567"/>
      </w:pPr>
      <w:rPr>
        <w:rFonts w:hint="default"/>
        <w:lang w:val="id" w:eastAsia="en-US" w:bidi="ar-SA"/>
      </w:rPr>
    </w:lvl>
    <w:lvl w:ilvl="8">
      <w:numFmt w:val="bullet"/>
      <w:lvlText w:val="•"/>
      <w:lvlJc w:val="left"/>
      <w:pPr>
        <w:ind w:left="7233" w:hanging="567"/>
      </w:pPr>
      <w:rPr>
        <w:rFonts w:hint="default"/>
        <w:lang w:val="id" w:eastAsia="en-US" w:bidi="ar-SA"/>
      </w:rPr>
    </w:lvl>
  </w:abstractNum>
  <w:abstractNum w:abstractNumId="15" w15:restartNumberingAfterBreak="0">
    <w:nsid w:val="5C7A7DCA"/>
    <w:multiLevelType w:val="multilevel"/>
    <w:tmpl w:val="FE9AE182"/>
    <w:lvl w:ilvl="0">
      <w:start w:val="1"/>
      <w:numFmt w:val="decimal"/>
      <w:lvlText w:val="%1."/>
      <w:lvlJc w:val="left"/>
      <w:pPr>
        <w:ind w:left="889" w:hanging="427"/>
      </w:pPr>
      <w:rPr>
        <w:rFonts w:ascii="Cambria" w:eastAsia="Cambria" w:hAnsi="Cambria" w:cs="Cambria"/>
        <w:sz w:val="24"/>
        <w:szCs w:val="24"/>
      </w:rPr>
    </w:lvl>
    <w:lvl w:ilvl="1">
      <w:numFmt w:val="bullet"/>
      <w:lvlText w:val="•"/>
      <w:lvlJc w:val="left"/>
      <w:pPr>
        <w:ind w:left="1736" w:hanging="428"/>
      </w:pPr>
    </w:lvl>
    <w:lvl w:ilvl="2">
      <w:numFmt w:val="bullet"/>
      <w:lvlText w:val="•"/>
      <w:lvlJc w:val="left"/>
      <w:pPr>
        <w:ind w:left="2593" w:hanging="428"/>
      </w:pPr>
    </w:lvl>
    <w:lvl w:ilvl="3">
      <w:numFmt w:val="bullet"/>
      <w:lvlText w:val="•"/>
      <w:lvlJc w:val="left"/>
      <w:pPr>
        <w:ind w:left="3449" w:hanging="428"/>
      </w:pPr>
    </w:lvl>
    <w:lvl w:ilvl="4">
      <w:numFmt w:val="bullet"/>
      <w:lvlText w:val="•"/>
      <w:lvlJc w:val="left"/>
      <w:pPr>
        <w:ind w:left="4306" w:hanging="428"/>
      </w:pPr>
    </w:lvl>
    <w:lvl w:ilvl="5">
      <w:numFmt w:val="bullet"/>
      <w:lvlText w:val="•"/>
      <w:lvlJc w:val="left"/>
      <w:pPr>
        <w:ind w:left="5163" w:hanging="428"/>
      </w:pPr>
    </w:lvl>
    <w:lvl w:ilvl="6">
      <w:numFmt w:val="bullet"/>
      <w:lvlText w:val="•"/>
      <w:lvlJc w:val="left"/>
      <w:pPr>
        <w:ind w:left="6019" w:hanging="428"/>
      </w:pPr>
    </w:lvl>
    <w:lvl w:ilvl="7">
      <w:numFmt w:val="bullet"/>
      <w:lvlText w:val="•"/>
      <w:lvlJc w:val="left"/>
      <w:pPr>
        <w:ind w:left="6876" w:hanging="427"/>
      </w:pPr>
    </w:lvl>
    <w:lvl w:ilvl="8">
      <w:numFmt w:val="bullet"/>
      <w:lvlText w:val="•"/>
      <w:lvlJc w:val="left"/>
      <w:pPr>
        <w:ind w:left="7733" w:hanging="428"/>
      </w:pPr>
    </w:lvl>
  </w:abstractNum>
  <w:abstractNum w:abstractNumId="16" w15:restartNumberingAfterBreak="0">
    <w:nsid w:val="5F993B57"/>
    <w:multiLevelType w:val="hybridMultilevel"/>
    <w:tmpl w:val="52944F52"/>
    <w:lvl w:ilvl="0" w:tplc="87F8D3AC">
      <w:start w:val="1"/>
      <w:numFmt w:val="decimal"/>
      <w:lvlText w:val="%1."/>
      <w:lvlJc w:val="left"/>
      <w:pPr>
        <w:ind w:left="1582" w:hanging="428"/>
      </w:pPr>
      <w:rPr>
        <w:rFonts w:ascii="Cambria" w:eastAsia="Times New Roman" w:hAnsi="Cambria" w:cs="Times New Roman" w:hint="default"/>
        <w:i w:val="0"/>
        <w:iCs w:val="0"/>
        <w:w w:val="100"/>
        <w:sz w:val="24"/>
        <w:szCs w:val="24"/>
        <w:lang w:val="id" w:eastAsia="en-US" w:bidi="ar-SA"/>
      </w:rPr>
    </w:lvl>
    <w:lvl w:ilvl="1" w:tplc="F7A4D576">
      <w:start w:val="1"/>
      <w:numFmt w:val="lowerLetter"/>
      <w:lvlText w:val="%2."/>
      <w:lvlJc w:val="left"/>
      <w:pPr>
        <w:ind w:left="2302" w:hanging="361"/>
      </w:pPr>
      <w:rPr>
        <w:rFonts w:asciiTheme="majorHAnsi" w:eastAsia="Times New Roman" w:hAnsiTheme="majorHAnsi" w:cs="Times New Roman" w:hint="default"/>
        <w:i w:val="0"/>
        <w:iCs w:val="0"/>
        <w:w w:val="100"/>
        <w:sz w:val="24"/>
        <w:szCs w:val="24"/>
        <w:lang w:val="id" w:eastAsia="en-US" w:bidi="ar-SA"/>
      </w:rPr>
    </w:lvl>
    <w:lvl w:ilvl="2" w:tplc="FB023F8A">
      <w:numFmt w:val="bullet"/>
      <w:lvlText w:val="•"/>
      <w:lvlJc w:val="left"/>
      <w:pPr>
        <w:ind w:left="3005" w:hanging="361"/>
      </w:pPr>
      <w:rPr>
        <w:rFonts w:hint="default"/>
        <w:lang w:val="id" w:eastAsia="en-US" w:bidi="ar-SA"/>
      </w:rPr>
    </w:lvl>
    <w:lvl w:ilvl="3" w:tplc="FF363F56">
      <w:numFmt w:val="bullet"/>
      <w:lvlText w:val="•"/>
      <w:lvlJc w:val="left"/>
      <w:pPr>
        <w:ind w:left="3710" w:hanging="361"/>
      </w:pPr>
      <w:rPr>
        <w:rFonts w:hint="default"/>
        <w:lang w:val="id" w:eastAsia="en-US" w:bidi="ar-SA"/>
      </w:rPr>
    </w:lvl>
    <w:lvl w:ilvl="4" w:tplc="4FCCAEA0">
      <w:numFmt w:val="bullet"/>
      <w:lvlText w:val="•"/>
      <w:lvlJc w:val="left"/>
      <w:pPr>
        <w:ind w:left="4415" w:hanging="361"/>
      </w:pPr>
      <w:rPr>
        <w:rFonts w:hint="default"/>
        <w:lang w:val="id" w:eastAsia="en-US" w:bidi="ar-SA"/>
      </w:rPr>
    </w:lvl>
    <w:lvl w:ilvl="5" w:tplc="A94A2188">
      <w:numFmt w:val="bullet"/>
      <w:lvlText w:val="•"/>
      <w:lvlJc w:val="left"/>
      <w:pPr>
        <w:ind w:left="5120" w:hanging="361"/>
      </w:pPr>
      <w:rPr>
        <w:rFonts w:hint="default"/>
        <w:lang w:val="id" w:eastAsia="en-US" w:bidi="ar-SA"/>
      </w:rPr>
    </w:lvl>
    <w:lvl w:ilvl="6" w:tplc="B3F08282">
      <w:numFmt w:val="bullet"/>
      <w:lvlText w:val="•"/>
      <w:lvlJc w:val="left"/>
      <w:pPr>
        <w:ind w:left="5825" w:hanging="361"/>
      </w:pPr>
      <w:rPr>
        <w:rFonts w:hint="default"/>
        <w:lang w:val="id" w:eastAsia="en-US" w:bidi="ar-SA"/>
      </w:rPr>
    </w:lvl>
    <w:lvl w:ilvl="7" w:tplc="4566BA14">
      <w:numFmt w:val="bullet"/>
      <w:lvlText w:val="•"/>
      <w:lvlJc w:val="left"/>
      <w:pPr>
        <w:ind w:left="6530" w:hanging="361"/>
      </w:pPr>
      <w:rPr>
        <w:rFonts w:hint="default"/>
        <w:lang w:val="id" w:eastAsia="en-US" w:bidi="ar-SA"/>
      </w:rPr>
    </w:lvl>
    <w:lvl w:ilvl="8" w:tplc="3448253A">
      <w:numFmt w:val="bullet"/>
      <w:lvlText w:val="•"/>
      <w:lvlJc w:val="left"/>
      <w:pPr>
        <w:ind w:left="7236" w:hanging="361"/>
      </w:pPr>
      <w:rPr>
        <w:rFonts w:hint="default"/>
        <w:lang w:val="id" w:eastAsia="en-US" w:bidi="ar-SA"/>
      </w:rPr>
    </w:lvl>
  </w:abstractNum>
  <w:abstractNum w:abstractNumId="17" w15:restartNumberingAfterBreak="0">
    <w:nsid w:val="6162489C"/>
    <w:multiLevelType w:val="hybridMultilevel"/>
    <w:tmpl w:val="86F4E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8C4B7B"/>
    <w:multiLevelType w:val="multilevel"/>
    <w:tmpl w:val="11203536"/>
    <w:lvl w:ilvl="0">
      <w:start w:val="2"/>
      <w:numFmt w:val="decimal"/>
      <w:lvlText w:val="%1."/>
      <w:lvlJc w:val="left"/>
      <w:pPr>
        <w:ind w:left="560" w:hanging="240"/>
      </w:pPr>
      <w:rPr>
        <w:rFonts w:ascii="Palatino Linotype" w:eastAsia="Palatino Linotype" w:hAnsi="Palatino Linotype" w:cs="Palatino Linotype"/>
        <w:b/>
        <w:sz w:val="24"/>
        <w:szCs w:val="24"/>
      </w:rPr>
    </w:lvl>
    <w:lvl w:ilvl="1">
      <w:start w:val="1"/>
      <w:numFmt w:val="decimal"/>
      <w:lvlText w:val="%2."/>
      <w:lvlJc w:val="left"/>
      <w:pPr>
        <w:ind w:left="889" w:hanging="427"/>
      </w:pPr>
      <w:rPr>
        <w:rFonts w:ascii="Cambria" w:eastAsia="Cambria" w:hAnsi="Cambria" w:cs="Cambria"/>
        <w:sz w:val="24"/>
        <w:szCs w:val="24"/>
      </w:rPr>
    </w:lvl>
    <w:lvl w:ilvl="2">
      <w:numFmt w:val="bullet"/>
      <w:lvlText w:val="•"/>
      <w:lvlJc w:val="left"/>
      <w:pPr>
        <w:ind w:left="1831" w:hanging="428"/>
      </w:pPr>
    </w:lvl>
    <w:lvl w:ilvl="3">
      <w:numFmt w:val="bullet"/>
      <w:lvlText w:val="•"/>
      <w:lvlJc w:val="left"/>
      <w:pPr>
        <w:ind w:left="2783" w:hanging="428"/>
      </w:pPr>
    </w:lvl>
    <w:lvl w:ilvl="4">
      <w:numFmt w:val="bullet"/>
      <w:lvlText w:val="•"/>
      <w:lvlJc w:val="left"/>
      <w:pPr>
        <w:ind w:left="3735" w:hanging="428"/>
      </w:pPr>
    </w:lvl>
    <w:lvl w:ilvl="5">
      <w:numFmt w:val="bullet"/>
      <w:lvlText w:val="•"/>
      <w:lvlJc w:val="left"/>
      <w:pPr>
        <w:ind w:left="4687" w:hanging="428"/>
      </w:pPr>
    </w:lvl>
    <w:lvl w:ilvl="6">
      <w:numFmt w:val="bullet"/>
      <w:lvlText w:val="•"/>
      <w:lvlJc w:val="left"/>
      <w:pPr>
        <w:ind w:left="5639" w:hanging="428"/>
      </w:pPr>
    </w:lvl>
    <w:lvl w:ilvl="7">
      <w:numFmt w:val="bullet"/>
      <w:lvlText w:val="•"/>
      <w:lvlJc w:val="left"/>
      <w:pPr>
        <w:ind w:left="6590" w:hanging="428"/>
      </w:pPr>
    </w:lvl>
    <w:lvl w:ilvl="8">
      <w:numFmt w:val="bullet"/>
      <w:lvlText w:val="•"/>
      <w:lvlJc w:val="left"/>
      <w:pPr>
        <w:ind w:left="7542" w:hanging="427"/>
      </w:pPr>
    </w:lvl>
  </w:abstractNum>
  <w:abstractNum w:abstractNumId="19" w15:restartNumberingAfterBreak="0">
    <w:nsid w:val="64281C1C"/>
    <w:multiLevelType w:val="multilevel"/>
    <w:tmpl w:val="70BEC416"/>
    <w:lvl w:ilvl="0">
      <w:start w:val="2"/>
      <w:numFmt w:val="decimal"/>
      <w:lvlText w:val="%1"/>
      <w:lvlJc w:val="left"/>
      <w:pPr>
        <w:ind w:left="1154" w:hanging="567"/>
      </w:pPr>
      <w:rPr>
        <w:rFonts w:hint="default"/>
        <w:lang w:val="id" w:eastAsia="en-US" w:bidi="ar-SA"/>
      </w:rPr>
    </w:lvl>
    <w:lvl w:ilvl="1">
      <w:start w:val="1"/>
      <w:numFmt w:val="decimal"/>
      <w:lvlText w:val="%1.%2."/>
      <w:lvlJc w:val="left"/>
      <w:pPr>
        <w:ind w:left="1154" w:hanging="567"/>
      </w:pPr>
      <w:rPr>
        <w:rFonts w:ascii="Times New Roman" w:eastAsia="Times New Roman" w:hAnsi="Times New Roman" w:cs="Times New Roman" w:hint="default"/>
        <w:b/>
        <w:bCs/>
        <w:w w:val="100"/>
        <w:sz w:val="24"/>
        <w:szCs w:val="24"/>
        <w:lang w:val="id" w:eastAsia="en-US" w:bidi="ar-SA"/>
      </w:rPr>
    </w:lvl>
    <w:lvl w:ilvl="2">
      <w:start w:val="1"/>
      <w:numFmt w:val="decimal"/>
      <w:lvlText w:val="%3."/>
      <w:lvlJc w:val="left"/>
      <w:pPr>
        <w:ind w:left="1296" w:hanging="360"/>
      </w:pPr>
    </w:lvl>
    <w:lvl w:ilvl="3">
      <w:numFmt w:val="bullet"/>
      <w:lvlText w:val="•"/>
      <w:lvlJc w:val="left"/>
      <w:pPr>
        <w:ind w:left="2932" w:hanging="360"/>
      </w:pPr>
      <w:rPr>
        <w:rFonts w:hint="default"/>
        <w:lang w:val="id" w:eastAsia="en-US" w:bidi="ar-SA"/>
      </w:rPr>
    </w:lvl>
    <w:lvl w:ilvl="4">
      <w:numFmt w:val="bullet"/>
      <w:lvlText w:val="•"/>
      <w:lvlJc w:val="left"/>
      <w:pPr>
        <w:ind w:left="3748" w:hanging="360"/>
      </w:pPr>
      <w:rPr>
        <w:rFonts w:hint="default"/>
        <w:lang w:val="id" w:eastAsia="en-US" w:bidi="ar-SA"/>
      </w:rPr>
    </w:lvl>
    <w:lvl w:ilvl="5">
      <w:numFmt w:val="bullet"/>
      <w:lvlText w:val="•"/>
      <w:lvlJc w:val="left"/>
      <w:pPr>
        <w:ind w:left="4565" w:hanging="360"/>
      </w:pPr>
      <w:rPr>
        <w:rFonts w:hint="default"/>
        <w:lang w:val="id" w:eastAsia="en-US" w:bidi="ar-SA"/>
      </w:rPr>
    </w:lvl>
    <w:lvl w:ilvl="6">
      <w:numFmt w:val="bullet"/>
      <w:lvlText w:val="•"/>
      <w:lvlJc w:val="left"/>
      <w:pPr>
        <w:ind w:left="5381" w:hanging="360"/>
      </w:pPr>
      <w:rPr>
        <w:rFonts w:hint="default"/>
        <w:lang w:val="id" w:eastAsia="en-US" w:bidi="ar-SA"/>
      </w:rPr>
    </w:lvl>
    <w:lvl w:ilvl="7">
      <w:numFmt w:val="bullet"/>
      <w:lvlText w:val="•"/>
      <w:lvlJc w:val="left"/>
      <w:pPr>
        <w:ind w:left="6197" w:hanging="360"/>
      </w:pPr>
      <w:rPr>
        <w:rFonts w:hint="default"/>
        <w:lang w:val="id" w:eastAsia="en-US" w:bidi="ar-SA"/>
      </w:rPr>
    </w:lvl>
    <w:lvl w:ilvl="8">
      <w:numFmt w:val="bullet"/>
      <w:lvlText w:val="•"/>
      <w:lvlJc w:val="left"/>
      <w:pPr>
        <w:ind w:left="7013" w:hanging="360"/>
      </w:pPr>
      <w:rPr>
        <w:rFonts w:hint="default"/>
        <w:lang w:val="id" w:eastAsia="en-US" w:bidi="ar-SA"/>
      </w:rPr>
    </w:lvl>
  </w:abstractNum>
  <w:abstractNum w:abstractNumId="20" w15:restartNumberingAfterBreak="0">
    <w:nsid w:val="686F3750"/>
    <w:multiLevelType w:val="multilevel"/>
    <w:tmpl w:val="48C87090"/>
    <w:lvl w:ilvl="0">
      <w:start w:val="1"/>
      <w:numFmt w:val="decimal"/>
      <w:lvlText w:val="%1."/>
      <w:lvlJc w:val="left"/>
      <w:pPr>
        <w:ind w:left="889" w:hanging="427"/>
      </w:pPr>
      <w:rPr>
        <w:rFonts w:ascii="Cambria" w:eastAsia="Cambria" w:hAnsi="Cambria" w:cs="Cambria"/>
        <w:sz w:val="24"/>
        <w:szCs w:val="24"/>
      </w:rPr>
    </w:lvl>
    <w:lvl w:ilvl="1">
      <w:numFmt w:val="bullet"/>
      <w:lvlText w:val="•"/>
      <w:lvlJc w:val="left"/>
      <w:pPr>
        <w:ind w:left="1736" w:hanging="428"/>
      </w:pPr>
    </w:lvl>
    <w:lvl w:ilvl="2">
      <w:numFmt w:val="bullet"/>
      <w:lvlText w:val="•"/>
      <w:lvlJc w:val="left"/>
      <w:pPr>
        <w:ind w:left="2593" w:hanging="428"/>
      </w:pPr>
    </w:lvl>
    <w:lvl w:ilvl="3">
      <w:numFmt w:val="bullet"/>
      <w:lvlText w:val="•"/>
      <w:lvlJc w:val="left"/>
      <w:pPr>
        <w:ind w:left="3449" w:hanging="428"/>
      </w:pPr>
    </w:lvl>
    <w:lvl w:ilvl="4">
      <w:numFmt w:val="bullet"/>
      <w:lvlText w:val="•"/>
      <w:lvlJc w:val="left"/>
      <w:pPr>
        <w:ind w:left="4306" w:hanging="428"/>
      </w:pPr>
    </w:lvl>
    <w:lvl w:ilvl="5">
      <w:numFmt w:val="bullet"/>
      <w:lvlText w:val="•"/>
      <w:lvlJc w:val="left"/>
      <w:pPr>
        <w:ind w:left="5163" w:hanging="428"/>
      </w:pPr>
    </w:lvl>
    <w:lvl w:ilvl="6">
      <w:numFmt w:val="bullet"/>
      <w:lvlText w:val="•"/>
      <w:lvlJc w:val="left"/>
      <w:pPr>
        <w:ind w:left="6019" w:hanging="428"/>
      </w:pPr>
    </w:lvl>
    <w:lvl w:ilvl="7">
      <w:numFmt w:val="bullet"/>
      <w:lvlText w:val="•"/>
      <w:lvlJc w:val="left"/>
      <w:pPr>
        <w:ind w:left="6876" w:hanging="427"/>
      </w:pPr>
    </w:lvl>
    <w:lvl w:ilvl="8">
      <w:numFmt w:val="bullet"/>
      <w:lvlText w:val="•"/>
      <w:lvlJc w:val="left"/>
      <w:pPr>
        <w:ind w:left="7733" w:hanging="428"/>
      </w:pPr>
    </w:lvl>
  </w:abstractNum>
  <w:abstractNum w:abstractNumId="21" w15:restartNumberingAfterBreak="0">
    <w:nsid w:val="68D45D99"/>
    <w:multiLevelType w:val="hybridMultilevel"/>
    <w:tmpl w:val="2342DFF0"/>
    <w:lvl w:ilvl="0" w:tplc="7708CA26">
      <w:start w:val="1"/>
      <w:numFmt w:val="lowerLetter"/>
      <w:lvlText w:val="%1."/>
      <w:lvlJc w:val="left"/>
      <w:pPr>
        <w:ind w:left="2016" w:hanging="360"/>
      </w:pPr>
      <w:rPr>
        <w:rFonts w:ascii="Cambria" w:eastAsia="Times New Roman" w:hAnsi="Cambria" w:cs="Times New Roman" w:hint="default"/>
        <w:spacing w:val="-1"/>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59323F"/>
    <w:multiLevelType w:val="multilevel"/>
    <w:tmpl w:val="6710260C"/>
    <w:lvl w:ilvl="0">
      <w:start w:val="1"/>
      <w:numFmt w:val="decimal"/>
      <w:lvlText w:val="%1"/>
      <w:lvlJc w:val="left"/>
      <w:pPr>
        <w:ind w:left="1154" w:hanging="567"/>
      </w:pPr>
      <w:rPr>
        <w:rFonts w:hint="default"/>
        <w:lang w:val="id" w:eastAsia="en-US" w:bidi="ar-SA"/>
      </w:rPr>
    </w:lvl>
    <w:lvl w:ilvl="1">
      <w:start w:val="1"/>
      <w:numFmt w:val="decimal"/>
      <w:lvlText w:val="%1.%2."/>
      <w:lvlJc w:val="left"/>
      <w:pPr>
        <w:ind w:left="1154" w:hanging="567"/>
      </w:pPr>
      <w:rPr>
        <w:rFonts w:ascii="Times New Roman" w:eastAsia="Times New Roman" w:hAnsi="Times New Roman" w:cs="Times New Roman" w:hint="default"/>
        <w:b/>
        <w:bCs/>
        <w:w w:val="100"/>
        <w:sz w:val="24"/>
        <w:szCs w:val="24"/>
        <w:lang w:val="id" w:eastAsia="en-US" w:bidi="ar-SA"/>
      </w:rPr>
    </w:lvl>
    <w:lvl w:ilvl="2">
      <w:start w:val="1"/>
      <w:numFmt w:val="decimal"/>
      <w:lvlText w:val="%3."/>
      <w:lvlJc w:val="left"/>
      <w:pPr>
        <w:ind w:left="1582" w:hanging="428"/>
      </w:pPr>
      <w:rPr>
        <w:rFonts w:ascii="Times New Roman" w:eastAsia="Times New Roman" w:hAnsi="Times New Roman" w:cs="Times New Roman" w:hint="default"/>
        <w:w w:val="100"/>
        <w:sz w:val="24"/>
        <w:szCs w:val="24"/>
        <w:lang w:val="id" w:eastAsia="en-US" w:bidi="ar-SA"/>
      </w:rPr>
    </w:lvl>
    <w:lvl w:ilvl="3">
      <w:numFmt w:val="bullet"/>
      <w:lvlText w:val="•"/>
      <w:lvlJc w:val="left"/>
      <w:pPr>
        <w:ind w:left="1732" w:hanging="428"/>
      </w:pPr>
      <w:rPr>
        <w:rFonts w:hint="default"/>
        <w:lang w:val="id" w:eastAsia="en-US" w:bidi="ar-SA"/>
      </w:rPr>
    </w:lvl>
    <w:lvl w:ilvl="4">
      <w:numFmt w:val="bullet"/>
      <w:lvlText w:val="•"/>
      <w:lvlJc w:val="left"/>
      <w:pPr>
        <w:ind w:left="1885" w:hanging="428"/>
      </w:pPr>
      <w:rPr>
        <w:rFonts w:hint="default"/>
        <w:lang w:val="id" w:eastAsia="en-US" w:bidi="ar-SA"/>
      </w:rPr>
    </w:lvl>
    <w:lvl w:ilvl="5">
      <w:numFmt w:val="bullet"/>
      <w:lvlText w:val="•"/>
      <w:lvlJc w:val="left"/>
      <w:pPr>
        <w:ind w:left="2038" w:hanging="428"/>
      </w:pPr>
      <w:rPr>
        <w:rFonts w:hint="default"/>
        <w:lang w:val="id" w:eastAsia="en-US" w:bidi="ar-SA"/>
      </w:rPr>
    </w:lvl>
    <w:lvl w:ilvl="6">
      <w:numFmt w:val="bullet"/>
      <w:lvlText w:val="•"/>
      <w:lvlJc w:val="left"/>
      <w:pPr>
        <w:ind w:left="2190" w:hanging="428"/>
      </w:pPr>
      <w:rPr>
        <w:rFonts w:hint="default"/>
        <w:lang w:val="id" w:eastAsia="en-US" w:bidi="ar-SA"/>
      </w:rPr>
    </w:lvl>
    <w:lvl w:ilvl="7">
      <w:numFmt w:val="bullet"/>
      <w:lvlText w:val="•"/>
      <w:lvlJc w:val="left"/>
      <w:pPr>
        <w:ind w:left="2343" w:hanging="428"/>
      </w:pPr>
      <w:rPr>
        <w:rFonts w:hint="default"/>
        <w:lang w:val="id" w:eastAsia="en-US" w:bidi="ar-SA"/>
      </w:rPr>
    </w:lvl>
    <w:lvl w:ilvl="8">
      <w:numFmt w:val="bullet"/>
      <w:lvlText w:val="•"/>
      <w:lvlJc w:val="left"/>
      <w:pPr>
        <w:ind w:left="2496" w:hanging="428"/>
      </w:pPr>
      <w:rPr>
        <w:rFonts w:hint="default"/>
        <w:lang w:val="id" w:eastAsia="en-US" w:bidi="ar-SA"/>
      </w:rPr>
    </w:lvl>
  </w:abstractNum>
  <w:abstractNum w:abstractNumId="23" w15:restartNumberingAfterBreak="0">
    <w:nsid w:val="6B7E1C1F"/>
    <w:multiLevelType w:val="multilevel"/>
    <w:tmpl w:val="11203536"/>
    <w:lvl w:ilvl="0">
      <w:start w:val="2"/>
      <w:numFmt w:val="decimal"/>
      <w:lvlText w:val="%1."/>
      <w:lvlJc w:val="left"/>
      <w:pPr>
        <w:ind w:left="560" w:hanging="240"/>
      </w:pPr>
      <w:rPr>
        <w:rFonts w:ascii="Palatino Linotype" w:eastAsia="Palatino Linotype" w:hAnsi="Palatino Linotype" w:cs="Palatino Linotype"/>
        <w:b/>
        <w:sz w:val="24"/>
        <w:szCs w:val="24"/>
      </w:rPr>
    </w:lvl>
    <w:lvl w:ilvl="1">
      <w:start w:val="1"/>
      <w:numFmt w:val="decimal"/>
      <w:lvlText w:val="%2."/>
      <w:lvlJc w:val="left"/>
      <w:pPr>
        <w:ind w:left="889" w:hanging="427"/>
      </w:pPr>
      <w:rPr>
        <w:rFonts w:ascii="Cambria" w:eastAsia="Cambria" w:hAnsi="Cambria" w:cs="Cambria"/>
        <w:sz w:val="24"/>
        <w:szCs w:val="24"/>
      </w:rPr>
    </w:lvl>
    <w:lvl w:ilvl="2">
      <w:numFmt w:val="bullet"/>
      <w:lvlText w:val="•"/>
      <w:lvlJc w:val="left"/>
      <w:pPr>
        <w:ind w:left="1831" w:hanging="428"/>
      </w:pPr>
    </w:lvl>
    <w:lvl w:ilvl="3">
      <w:numFmt w:val="bullet"/>
      <w:lvlText w:val="•"/>
      <w:lvlJc w:val="left"/>
      <w:pPr>
        <w:ind w:left="2783" w:hanging="428"/>
      </w:pPr>
    </w:lvl>
    <w:lvl w:ilvl="4">
      <w:numFmt w:val="bullet"/>
      <w:lvlText w:val="•"/>
      <w:lvlJc w:val="left"/>
      <w:pPr>
        <w:ind w:left="3735" w:hanging="428"/>
      </w:pPr>
    </w:lvl>
    <w:lvl w:ilvl="5">
      <w:numFmt w:val="bullet"/>
      <w:lvlText w:val="•"/>
      <w:lvlJc w:val="left"/>
      <w:pPr>
        <w:ind w:left="4687" w:hanging="428"/>
      </w:pPr>
    </w:lvl>
    <w:lvl w:ilvl="6">
      <w:numFmt w:val="bullet"/>
      <w:lvlText w:val="•"/>
      <w:lvlJc w:val="left"/>
      <w:pPr>
        <w:ind w:left="5639" w:hanging="428"/>
      </w:pPr>
    </w:lvl>
    <w:lvl w:ilvl="7">
      <w:numFmt w:val="bullet"/>
      <w:lvlText w:val="•"/>
      <w:lvlJc w:val="left"/>
      <w:pPr>
        <w:ind w:left="6590" w:hanging="428"/>
      </w:pPr>
    </w:lvl>
    <w:lvl w:ilvl="8">
      <w:numFmt w:val="bullet"/>
      <w:lvlText w:val="•"/>
      <w:lvlJc w:val="left"/>
      <w:pPr>
        <w:ind w:left="7542" w:hanging="427"/>
      </w:pPr>
    </w:lvl>
  </w:abstractNum>
  <w:abstractNum w:abstractNumId="24" w15:restartNumberingAfterBreak="0">
    <w:nsid w:val="6D5F378A"/>
    <w:multiLevelType w:val="multilevel"/>
    <w:tmpl w:val="DE26088A"/>
    <w:lvl w:ilvl="0">
      <w:start w:val="1"/>
      <w:numFmt w:val="lowerLetter"/>
      <w:lvlText w:val="%1."/>
      <w:lvlJc w:val="left"/>
      <w:pPr>
        <w:ind w:left="680" w:hanging="360"/>
      </w:pPr>
      <w:rPr>
        <w:rFonts w:ascii="Cambria" w:eastAsia="Cambria" w:hAnsi="Cambria" w:cs="Cambria"/>
        <w:sz w:val="24"/>
        <w:szCs w:val="24"/>
      </w:rPr>
    </w:lvl>
    <w:lvl w:ilvl="1">
      <w:numFmt w:val="bullet"/>
      <w:lvlText w:val="•"/>
      <w:lvlJc w:val="left"/>
      <w:pPr>
        <w:ind w:left="1556" w:hanging="360"/>
      </w:pPr>
    </w:lvl>
    <w:lvl w:ilvl="2">
      <w:numFmt w:val="bullet"/>
      <w:lvlText w:val="•"/>
      <w:lvlJc w:val="left"/>
      <w:pPr>
        <w:ind w:left="2433" w:hanging="360"/>
      </w:pPr>
    </w:lvl>
    <w:lvl w:ilvl="3">
      <w:numFmt w:val="bullet"/>
      <w:lvlText w:val="•"/>
      <w:lvlJc w:val="left"/>
      <w:pPr>
        <w:ind w:left="3309" w:hanging="360"/>
      </w:pPr>
    </w:lvl>
    <w:lvl w:ilvl="4">
      <w:numFmt w:val="bullet"/>
      <w:lvlText w:val="•"/>
      <w:lvlJc w:val="left"/>
      <w:pPr>
        <w:ind w:left="4186" w:hanging="360"/>
      </w:pPr>
    </w:lvl>
    <w:lvl w:ilvl="5">
      <w:numFmt w:val="bullet"/>
      <w:lvlText w:val="•"/>
      <w:lvlJc w:val="left"/>
      <w:pPr>
        <w:ind w:left="5063" w:hanging="360"/>
      </w:pPr>
    </w:lvl>
    <w:lvl w:ilvl="6">
      <w:numFmt w:val="bullet"/>
      <w:lvlText w:val="•"/>
      <w:lvlJc w:val="left"/>
      <w:pPr>
        <w:ind w:left="5939" w:hanging="360"/>
      </w:pPr>
    </w:lvl>
    <w:lvl w:ilvl="7">
      <w:numFmt w:val="bullet"/>
      <w:lvlText w:val="•"/>
      <w:lvlJc w:val="left"/>
      <w:pPr>
        <w:ind w:left="6816" w:hanging="360"/>
      </w:pPr>
    </w:lvl>
    <w:lvl w:ilvl="8">
      <w:numFmt w:val="bullet"/>
      <w:lvlText w:val="•"/>
      <w:lvlJc w:val="left"/>
      <w:pPr>
        <w:ind w:left="7693" w:hanging="360"/>
      </w:pPr>
    </w:lvl>
  </w:abstractNum>
  <w:abstractNum w:abstractNumId="25" w15:restartNumberingAfterBreak="0">
    <w:nsid w:val="73A01CB8"/>
    <w:multiLevelType w:val="multilevel"/>
    <w:tmpl w:val="1158BA70"/>
    <w:lvl w:ilvl="0">
      <w:start w:val="1"/>
      <w:numFmt w:val="lowerLetter"/>
      <w:lvlText w:val="%1."/>
      <w:lvlJc w:val="left"/>
      <w:pPr>
        <w:ind w:left="889" w:hanging="360"/>
      </w:pPr>
      <w:rPr>
        <w:rFonts w:ascii="Cambria" w:eastAsia="Cambria" w:hAnsi="Cambria" w:cs="Cambria"/>
        <w:sz w:val="24"/>
        <w:szCs w:val="24"/>
      </w:rPr>
    </w:lvl>
    <w:lvl w:ilvl="1">
      <w:numFmt w:val="bullet"/>
      <w:lvlText w:val="•"/>
      <w:lvlJc w:val="left"/>
      <w:pPr>
        <w:ind w:left="1736" w:hanging="360"/>
      </w:pPr>
    </w:lvl>
    <w:lvl w:ilvl="2">
      <w:numFmt w:val="bullet"/>
      <w:lvlText w:val="•"/>
      <w:lvlJc w:val="left"/>
      <w:pPr>
        <w:ind w:left="2593" w:hanging="360"/>
      </w:pPr>
    </w:lvl>
    <w:lvl w:ilvl="3">
      <w:numFmt w:val="bullet"/>
      <w:lvlText w:val="•"/>
      <w:lvlJc w:val="left"/>
      <w:pPr>
        <w:ind w:left="3449" w:hanging="360"/>
      </w:pPr>
    </w:lvl>
    <w:lvl w:ilvl="4">
      <w:numFmt w:val="bullet"/>
      <w:lvlText w:val="•"/>
      <w:lvlJc w:val="left"/>
      <w:pPr>
        <w:ind w:left="4306" w:hanging="360"/>
      </w:pPr>
    </w:lvl>
    <w:lvl w:ilvl="5">
      <w:numFmt w:val="bullet"/>
      <w:lvlText w:val="•"/>
      <w:lvlJc w:val="left"/>
      <w:pPr>
        <w:ind w:left="5163" w:hanging="360"/>
      </w:pPr>
    </w:lvl>
    <w:lvl w:ilvl="6">
      <w:numFmt w:val="bullet"/>
      <w:lvlText w:val="•"/>
      <w:lvlJc w:val="left"/>
      <w:pPr>
        <w:ind w:left="6019" w:hanging="360"/>
      </w:pPr>
    </w:lvl>
    <w:lvl w:ilvl="7">
      <w:numFmt w:val="bullet"/>
      <w:lvlText w:val="•"/>
      <w:lvlJc w:val="left"/>
      <w:pPr>
        <w:ind w:left="6876" w:hanging="360"/>
      </w:pPr>
    </w:lvl>
    <w:lvl w:ilvl="8">
      <w:numFmt w:val="bullet"/>
      <w:lvlText w:val="•"/>
      <w:lvlJc w:val="left"/>
      <w:pPr>
        <w:ind w:left="7733" w:hanging="360"/>
      </w:pPr>
    </w:lvl>
  </w:abstractNum>
  <w:abstractNum w:abstractNumId="26" w15:restartNumberingAfterBreak="0">
    <w:nsid w:val="742C1595"/>
    <w:multiLevelType w:val="multilevel"/>
    <w:tmpl w:val="F8EAB224"/>
    <w:lvl w:ilvl="0">
      <w:start w:val="2"/>
      <w:numFmt w:val="decimal"/>
      <w:lvlText w:val="%1."/>
      <w:lvlJc w:val="left"/>
      <w:pPr>
        <w:ind w:left="560" w:hanging="240"/>
      </w:pPr>
      <w:rPr>
        <w:rFonts w:ascii="Palatino Linotype" w:eastAsia="Palatino Linotype" w:hAnsi="Palatino Linotype" w:cs="Palatino Linotype"/>
        <w:b/>
        <w:sz w:val="24"/>
        <w:szCs w:val="24"/>
      </w:rPr>
    </w:lvl>
    <w:lvl w:ilvl="1">
      <w:start w:val="1"/>
      <w:numFmt w:val="decimal"/>
      <w:lvlText w:val="%2."/>
      <w:lvlJc w:val="left"/>
      <w:pPr>
        <w:ind w:left="889" w:hanging="427"/>
      </w:pPr>
      <w:rPr>
        <w:rFonts w:ascii="Cambria" w:eastAsia="Cambria" w:hAnsi="Cambria" w:cs="Cambria"/>
        <w:sz w:val="24"/>
        <w:szCs w:val="24"/>
      </w:rPr>
    </w:lvl>
    <w:lvl w:ilvl="2">
      <w:start w:val="1"/>
      <w:numFmt w:val="decimal"/>
      <w:lvlText w:val="%3."/>
      <w:lvlJc w:val="left"/>
      <w:pPr>
        <w:ind w:left="1763" w:hanging="360"/>
      </w:pPr>
    </w:lvl>
    <w:lvl w:ilvl="3">
      <w:numFmt w:val="bullet"/>
      <w:lvlText w:val="•"/>
      <w:lvlJc w:val="left"/>
      <w:pPr>
        <w:ind w:left="2783" w:hanging="428"/>
      </w:pPr>
    </w:lvl>
    <w:lvl w:ilvl="4">
      <w:numFmt w:val="bullet"/>
      <w:lvlText w:val="•"/>
      <w:lvlJc w:val="left"/>
      <w:pPr>
        <w:ind w:left="3735" w:hanging="428"/>
      </w:pPr>
    </w:lvl>
    <w:lvl w:ilvl="5">
      <w:numFmt w:val="bullet"/>
      <w:lvlText w:val="•"/>
      <w:lvlJc w:val="left"/>
      <w:pPr>
        <w:ind w:left="4687" w:hanging="428"/>
      </w:pPr>
    </w:lvl>
    <w:lvl w:ilvl="6">
      <w:numFmt w:val="bullet"/>
      <w:lvlText w:val="•"/>
      <w:lvlJc w:val="left"/>
      <w:pPr>
        <w:ind w:left="5639" w:hanging="428"/>
      </w:pPr>
    </w:lvl>
    <w:lvl w:ilvl="7">
      <w:numFmt w:val="bullet"/>
      <w:lvlText w:val="•"/>
      <w:lvlJc w:val="left"/>
      <w:pPr>
        <w:ind w:left="6590" w:hanging="428"/>
      </w:pPr>
    </w:lvl>
    <w:lvl w:ilvl="8">
      <w:numFmt w:val="bullet"/>
      <w:lvlText w:val="•"/>
      <w:lvlJc w:val="left"/>
      <w:pPr>
        <w:ind w:left="7542" w:hanging="427"/>
      </w:pPr>
    </w:lvl>
  </w:abstractNum>
  <w:abstractNum w:abstractNumId="27" w15:restartNumberingAfterBreak="0">
    <w:nsid w:val="764E59EC"/>
    <w:multiLevelType w:val="hybridMultilevel"/>
    <w:tmpl w:val="0986B7DE"/>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7719543E"/>
    <w:multiLevelType w:val="multilevel"/>
    <w:tmpl w:val="4A16949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ECA69C3"/>
    <w:multiLevelType w:val="multilevel"/>
    <w:tmpl w:val="7850314E"/>
    <w:lvl w:ilvl="0">
      <w:start w:val="1"/>
      <w:numFmt w:val="decimal"/>
      <w:lvlText w:val="%1."/>
      <w:lvlJc w:val="left"/>
      <w:pPr>
        <w:ind w:left="889" w:hanging="427"/>
      </w:pPr>
      <w:rPr>
        <w:rFonts w:ascii="Cambria" w:eastAsia="Cambria" w:hAnsi="Cambria" w:cs="Cambria"/>
        <w:sz w:val="24"/>
        <w:szCs w:val="24"/>
      </w:rPr>
    </w:lvl>
    <w:lvl w:ilvl="1">
      <w:numFmt w:val="bullet"/>
      <w:lvlText w:val="•"/>
      <w:lvlJc w:val="left"/>
      <w:pPr>
        <w:ind w:left="1736" w:hanging="428"/>
      </w:pPr>
    </w:lvl>
    <w:lvl w:ilvl="2">
      <w:numFmt w:val="bullet"/>
      <w:lvlText w:val="•"/>
      <w:lvlJc w:val="left"/>
      <w:pPr>
        <w:ind w:left="2593" w:hanging="428"/>
      </w:pPr>
    </w:lvl>
    <w:lvl w:ilvl="3">
      <w:numFmt w:val="bullet"/>
      <w:lvlText w:val="•"/>
      <w:lvlJc w:val="left"/>
      <w:pPr>
        <w:ind w:left="3449" w:hanging="428"/>
      </w:pPr>
    </w:lvl>
    <w:lvl w:ilvl="4">
      <w:numFmt w:val="bullet"/>
      <w:lvlText w:val="•"/>
      <w:lvlJc w:val="left"/>
      <w:pPr>
        <w:ind w:left="4306" w:hanging="428"/>
      </w:pPr>
    </w:lvl>
    <w:lvl w:ilvl="5">
      <w:numFmt w:val="bullet"/>
      <w:lvlText w:val="•"/>
      <w:lvlJc w:val="left"/>
      <w:pPr>
        <w:ind w:left="5163" w:hanging="428"/>
      </w:pPr>
    </w:lvl>
    <w:lvl w:ilvl="6">
      <w:numFmt w:val="bullet"/>
      <w:lvlText w:val="•"/>
      <w:lvlJc w:val="left"/>
      <w:pPr>
        <w:ind w:left="6019" w:hanging="428"/>
      </w:pPr>
    </w:lvl>
    <w:lvl w:ilvl="7">
      <w:numFmt w:val="bullet"/>
      <w:lvlText w:val="•"/>
      <w:lvlJc w:val="left"/>
      <w:pPr>
        <w:ind w:left="6876" w:hanging="427"/>
      </w:pPr>
    </w:lvl>
    <w:lvl w:ilvl="8">
      <w:numFmt w:val="bullet"/>
      <w:lvlText w:val="•"/>
      <w:lvlJc w:val="left"/>
      <w:pPr>
        <w:ind w:left="7733" w:hanging="428"/>
      </w:pPr>
    </w:lvl>
  </w:abstractNum>
  <w:num w:numId="1" w16cid:durableId="1166433883">
    <w:abstractNumId w:val="29"/>
  </w:num>
  <w:num w:numId="2" w16cid:durableId="1157305158">
    <w:abstractNumId w:val="20"/>
  </w:num>
  <w:num w:numId="3" w16cid:durableId="179583553">
    <w:abstractNumId w:val="15"/>
  </w:num>
  <w:num w:numId="4" w16cid:durableId="943150162">
    <w:abstractNumId w:val="24"/>
  </w:num>
  <w:num w:numId="5" w16cid:durableId="259681985">
    <w:abstractNumId w:val="23"/>
  </w:num>
  <w:num w:numId="6" w16cid:durableId="1029993234">
    <w:abstractNumId w:val="25"/>
  </w:num>
  <w:num w:numId="7" w16cid:durableId="1159805869">
    <w:abstractNumId w:val="13"/>
  </w:num>
  <w:num w:numId="8" w16cid:durableId="1049259305">
    <w:abstractNumId w:val="7"/>
  </w:num>
  <w:num w:numId="9" w16cid:durableId="1089156252">
    <w:abstractNumId w:val="9"/>
  </w:num>
  <w:num w:numId="10" w16cid:durableId="1000541517">
    <w:abstractNumId w:val="10"/>
  </w:num>
  <w:num w:numId="11" w16cid:durableId="1526551646">
    <w:abstractNumId w:val="2"/>
  </w:num>
  <w:num w:numId="12" w16cid:durableId="573205216">
    <w:abstractNumId w:val="16"/>
  </w:num>
  <w:num w:numId="13" w16cid:durableId="1420712967">
    <w:abstractNumId w:val="12"/>
  </w:num>
  <w:num w:numId="14" w16cid:durableId="1956978283">
    <w:abstractNumId w:val="3"/>
  </w:num>
  <w:num w:numId="15" w16cid:durableId="132329867">
    <w:abstractNumId w:val="0"/>
  </w:num>
  <w:num w:numId="16" w16cid:durableId="1942567801">
    <w:abstractNumId w:val="19"/>
  </w:num>
  <w:num w:numId="17" w16cid:durableId="1113986913">
    <w:abstractNumId w:val="22"/>
  </w:num>
  <w:num w:numId="18" w16cid:durableId="2124763389">
    <w:abstractNumId w:val="5"/>
  </w:num>
  <w:num w:numId="19" w16cid:durableId="669916053">
    <w:abstractNumId w:val="14"/>
  </w:num>
  <w:num w:numId="20" w16cid:durableId="2138991287">
    <w:abstractNumId w:val="6"/>
  </w:num>
  <w:num w:numId="21" w16cid:durableId="63725380">
    <w:abstractNumId w:val="1"/>
  </w:num>
  <w:num w:numId="22" w16cid:durableId="639309249">
    <w:abstractNumId w:val="11"/>
  </w:num>
  <w:num w:numId="23" w16cid:durableId="419254372">
    <w:abstractNumId w:val="18"/>
  </w:num>
  <w:num w:numId="24" w16cid:durableId="738408371">
    <w:abstractNumId w:val="28"/>
  </w:num>
  <w:num w:numId="25" w16cid:durableId="1338459278">
    <w:abstractNumId w:val="27"/>
  </w:num>
  <w:num w:numId="26" w16cid:durableId="1931044509">
    <w:abstractNumId w:val="26"/>
  </w:num>
  <w:num w:numId="27" w16cid:durableId="401760307">
    <w:abstractNumId w:val="4"/>
  </w:num>
  <w:num w:numId="28" w16cid:durableId="1312826355">
    <w:abstractNumId w:val="8"/>
  </w:num>
  <w:num w:numId="29" w16cid:durableId="1370108650">
    <w:abstractNumId w:val="17"/>
  </w:num>
  <w:num w:numId="30" w16cid:durableId="9937973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4D9"/>
    <w:rsid w:val="001324A9"/>
    <w:rsid w:val="001356F8"/>
    <w:rsid w:val="00157FA7"/>
    <w:rsid w:val="001821AA"/>
    <w:rsid w:val="001C0B9B"/>
    <w:rsid w:val="00245E4D"/>
    <w:rsid w:val="002921DE"/>
    <w:rsid w:val="002964C9"/>
    <w:rsid w:val="002F3C45"/>
    <w:rsid w:val="00313C0A"/>
    <w:rsid w:val="00396E08"/>
    <w:rsid w:val="003A1663"/>
    <w:rsid w:val="003A71AD"/>
    <w:rsid w:val="00474034"/>
    <w:rsid w:val="004D7AB9"/>
    <w:rsid w:val="005265D8"/>
    <w:rsid w:val="00532054"/>
    <w:rsid w:val="005331E8"/>
    <w:rsid w:val="005424BB"/>
    <w:rsid w:val="00565C3A"/>
    <w:rsid w:val="0059538C"/>
    <w:rsid w:val="00632EC0"/>
    <w:rsid w:val="00701C1E"/>
    <w:rsid w:val="007B097F"/>
    <w:rsid w:val="007E7501"/>
    <w:rsid w:val="008A7009"/>
    <w:rsid w:val="009411DD"/>
    <w:rsid w:val="00970D51"/>
    <w:rsid w:val="0097448D"/>
    <w:rsid w:val="009B5698"/>
    <w:rsid w:val="009E68FF"/>
    <w:rsid w:val="009F35CD"/>
    <w:rsid w:val="009F74D5"/>
    <w:rsid w:val="00A738C0"/>
    <w:rsid w:val="00B13440"/>
    <w:rsid w:val="00B9143E"/>
    <w:rsid w:val="00B97BCD"/>
    <w:rsid w:val="00BC54D9"/>
    <w:rsid w:val="00C004FC"/>
    <w:rsid w:val="00C510CC"/>
    <w:rsid w:val="00CA5907"/>
    <w:rsid w:val="00CD7D23"/>
    <w:rsid w:val="00D0371E"/>
    <w:rsid w:val="00D55257"/>
    <w:rsid w:val="00E046DA"/>
    <w:rsid w:val="00E43C16"/>
    <w:rsid w:val="00ED06C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F495F"/>
  <w15:docId w15:val="{FFA17488-48E7-3042-81CF-5590FA010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1"/>
    <w:qFormat/>
    <w:pPr>
      <w:ind w:left="462"/>
      <w:outlineLvl w:val="0"/>
    </w:pPr>
    <w:rPr>
      <w:rFonts w:ascii="Palatino Linotype" w:eastAsia="Palatino Linotype" w:hAnsi="Palatino Linotype" w:cs="Palatino Linotype"/>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ind w:left="889"/>
      <w:jc w:val="both"/>
    </w:pPr>
    <w:rPr>
      <w:sz w:val="24"/>
      <w:szCs w:val="24"/>
    </w:rPr>
  </w:style>
  <w:style w:type="paragraph" w:styleId="ListParagraph">
    <w:name w:val="List Paragraph"/>
    <w:basedOn w:val="Normal"/>
    <w:uiPriority w:val="1"/>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5331E8"/>
    <w:pPr>
      <w:tabs>
        <w:tab w:val="center" w:pos="4680"/>
        <w:tab w:val="right" w:pos="9360"/>
      </w:tabs>
    </w:pPr>
  </w:style>
  <w:style w:type="character" w:customStyle="1" w:styleId="HeaderChar">
    <w:name w:val="Header Char"/>
    <w:basedOn w:val="DefaultParagraphFont"/>
    <w:link w:val="Header"/>
    <w:uiPriority w:val="99"/>
    <w:rsid w:val="005331E8"/>
  </w:style>
  <w:style w:type="paragraph" w:styleId="Footer">
    <w:name w:val="footer"/>
    <w:basedOn w:val="Normal"/>
    <w:link w:val="FooterChar"/>
    <w:uiPriority w:val="99"/>
    <w:unhideWhenUsed/>
    <w:rsid w:val="005331E8"/>
    <w:pPr>
      <w:tabs>
        <w:tab w:val="center" w:pos="4680"/>
        <w:tab w:val="right" w:pos="9360"/>
      </w:tabs>
    </w:pPr>
  </w:style>
  <w:style w:type="character" w:customStyle="1" w:styleId="FooterChar">
    <w:name w:val="Footer Char"/>
    <w:basedOn w:val="DefaultParagraphFont"/>
    <w:link w:val="Footer"/>
    <w:uiPriority w:val="99"/>
    <w:rsid w:val="005331E8"/>
  </w:style>
  <w:style w:type="paragraph" w:styleId="FootnoteText">
    <w:name w:val="footnote text"/>
    <w:aliases w:val="Char,Footnote Text Char1 Char,Footnote Text Char Char1 Char,Footnote Text Char1 Char Char Char,Footnote Text Char Char1 Char Char Char,Footnote Text Char Char2 Char,Footnote Text Char1 Char1,Footnote Text Char Char1 Char1"/>
    <w:basedOn w:val="Normal"/>
    <w:link w:val="FootnoteTextChar"/>
    <w:uiPriority w:val="99"/>
    <w:unhideWhenUsed/>
    <w:qFormat/>
    <w:rsid w:val="00C004FC"/>
    <w:rPr>
      <w:sz w:val="20"/>
      <w:szCs w:val="20"/>
    </w:rPr>
  </w:style>
  <w:style w:type="character" w:customStyle="1" w:styleId="FootnoteTextChar">
    <w:name w:val="Footnote Text Char"/>
    <w:aliases w:val="Char Char,Footnote Text Char1 Char Char,Footnote Text Char Char1 Char Char,Footnote Text Char1 Char Char Char Char,Footnote Text Char Char1 Char Char Char Char,Footnote Text Char Char2 Char Char,Footnote Text Char1 Char1 Char"/>
    <w:basedOn w:val="DefaultParagraphFont"/>
    <w:link w:val="FootnoteText"/>
    <w:uiPriority w:val="99"/>
    <w:qFormat/>
    <w:rsid w:val="00C004FC"/>
    <w:rPr>
      <w:sz w:val="20"/>
      <w:szCs w:val="20"/>
    </w:rPr>
  </w:style>
  <w:style w:type="character" w:styleId="FootnoteReference">
    <w:name w:val="footnote reference"/>
    <w:basedOn w:val="DefaultParagraphFont"/>
    <w:uiPriority w:val="99"/>
    <w:unhideWhenUsed/>
    <w:qFormat/>
    <w:rsid w:val="00C004FC"/>
    <w:rPr>
      <w:vertAlign w:val="superscript"/>
    </w:rPr>
  </w:style>
  <w:style w:type="paragraph" w:styleId="TOC1">
    <w:name w:val="toc 1"/>
    <w:basedOn w:val="Normal"/>
    <w:uiPriority w:val="1"/>
    <w:qFormat/>
    <w:rsid w:val="0059538C"/>
    <w:pPr>
      <w:autoSpaceDE w:val="0"/>
      <w:autoSpaceDN w:val="0"/>
      <w:spacing w:before="137"/>
      <w:ind w:left="1015" w:hanging="428"/>
    </w:pPr>
    <w:rPr>
      <w:rFonts w:ascii="Times New Roman" w:eastAsia="Times New Roman" w:hAnsi="Times New Roman" w:cs="Times New Roman"/>
      <w:sz w:val="24"/>
      <w:szCs w:val="24"/>
      <w:lang w:val="id"/>
    </w:rPr>
  </w:style>
  <w:style w:type="paragraph" w:styleId="TOC2">
    <w:name w:val="toc 2"/>
    <w:basedOn w:val="Normal"/>
    <w:uiPriority w:val="1"/>
    <w:qFormat/>
    <w:rsid w:val="0059538C"/>
    <w:pPr>
      <w:autoSpaceDE w:val="0"/>
      <w:autoSpaceDN w:val="0"/>
      <w:spacing w:before="41"/>
      <w:ind w:left="1582" w:hanging="567"/>
    </w:pPr>
    <w:rPr>
      <w:rFonts w:ascii="Times New Roman" w:eastAsia="Times New Roman" w:hAnsi="Times New Roman" w:cs="Times New Roman"/>
      <w:sz w:val="24"/>
      <w:szCs w:val="24"/>
      <w:lang w:val="id"/>
    </w:rPr>
  </w:style>
  <w:style w:type="paragraph" w:styleId="Bibliography">
    <w:name w:val="Bibliography"/>
    <w:basedOn w:val="Normal"/>
    <w:next w:val="Normal"/>
    <w:uiPriority w:val="37"/>
    <w:unhideWhenUsed/>
    <w:rsid w:val="001356F8"/>
    <w:pPr>
      <w:spacing w:line="480" w:lineRule="auto"/>
      <w:ind w:left="720" w:hanging="720"/>
    </w:pPr>
  </w:style>
  <w:style w:type="character" w:styleId="Hyperlink">
    <w:name w:val="Hyperlink"/>
    <w:basedOn w:val="DefaultParagraphFont"/>
    <w:uiPriority w:val="99"/>
    <w:unhideWhenUsed/>
    <w:rsid w:val="004D7AB9"/>
    <w:rPr>
      <w:color w:val="0000FF" w:themeColor="hyperlink"/>
      <w:u w:val="single"/>
    </w:rPr>
  </w:style>
  <w:style w:type="character" w:customStyle="1" w:styleId="UnresolvedMention1">
    <w:name w:val="Unresolved Mention1"/>
    <w:basedOn w:val="DefaultParagraphFont"/>
    <w:uiPriority w:val="99"/>
    <w:semiHidden/>
    <w:unhideWhenUsed/>
    <w:rsid w:val="004D7AB9"/>
    <w:rPr>
      <w:color w:val="605E5C"/>
      <w:shd w:val="clear" w:color="auto" w:fill="E1DFDD"/>
    </w:rPr>
  </w:style>
  <w:style w:type="character" w:styleId="FollowedHyperlink">
    <w:name w:val="FollowedHyperlink"/>
    <w:basedOn w:val="DefaultParagraphFont"/>
    <w:uiPriority w:val="99"/>
    <w:semiHidden/>
    <w:unhideWhenUsed/>
    <w:rsid w:val="004D7A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izarumesten@fh.unsri.ac.id"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ashriana@fh.unsri.ac.id"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amzulianrifai@fh.unsri.ac.id"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ahmadhabibiemttaqwa@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8Ohr4vGELRcMwaTIrWsQnPF26g==">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916028-CB5D-4ECF-BD4B-0BE0DA24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17979</Words>
  <Characters>102482</Characters>
  <Application>Microsoft Office Word</Application>
  <DocSecurity>0</DocSecurity>
  <Lines>854</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UBAY</dc:creator>
  <cp:lastModifiedBy>edi wibowo</cp:lastModifiedBy>
  <cp:revision>2</cp:revision>
  <dcterms:created xsi:type="dcterms:W3CDTF">2024-01-11T22:45:00Z</dcterms:created>
  <dcterms:modified xsi:type="dcterms:W3CDTF">2024-01-11T22:45:00Z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2023-06-13T00:00:00Z</vt:filetime>
  </property>
  <property fmtid="{D5CDD505-2E9C-101B-9397-08002B2CF9AE}" pid="5" name="ZOTERO_PREF_1">
    <vt:lpwstr>&lt;data data-version="3" zotero-version="6.0.29"&gt;&lt;session id="v7k8xi8i"/&gt;&lt;style id="http://www.zotero.org/styles/apa" locale="en-GB" hasBibliography="1" bibliographyStyleHasBeenSet="1"/&gt;&lt;prefs&gt;&lt;pref name="fieldType" value="Field"/&gt;&lt;pref name="automaticJourn</vt:lpwstr>
  </property>
  <property fmtid="{D5CDD505-2E9C-101B-9397-08002B2CF9AE}" pid="6" name="ZOTERO_PREF_2">
    <vt:lpwstr>alAbbreviations" value="true"/&gt;&lt;/prefs&gt;&lt;/data&gt;</vt:lpwstr>
  </property>
</Properties>
</file>