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5A1B0" w14:textId="0AE1B33C" w:rsidR="00E21948" w:rsidRPr="00E21948" w:rsidRDefault="00E21948" w:rsidP="00E21948">
      <w:pPr>
        <w:jc w:val="center"/>
        <w:rPr>
          <w:rFonts w:ascii="Book Antiqua" w:hAnsi="Book Antiqua"/>
          <w:b/>
          <w:sz w:val="24"/>
          <w:szCs w:val="24"/>
        </w:rPr>
      </w:pPr>
      <w:r w:rsidRPr="00E21948">
        <w:rPr>
          <w:rFonts w:ascii="Book Antiqua" w:hAnsi="Book Antiqua"/>
          <w:b/>
          <w:sz w:val="24"/>
          <w:szCs w:val="24"/>
        </w:rPr>
        <w:t>The Role of Intelligence in Law Enforcement for Combating Terrorism</w:t>
      </w:r>
      <w:r w:rsidR="00B834E7" w:rsidRPr="00B834E7">
        <w:t xml:space="preserve"> </w:t>
      </w:r>
      <w:r w:rsidRPr="00E21948">
        <w:rPr>
          <w:rFonts w:ascii="Book Antiqua" w:hAnsi="Book Antiqua"/>
          <w:b/>
          <w:sz w:val="24"/>
          <w:szCs w:val="24"/>
        </w:rPr>
        <w:t>Cases in Indonesia</w:t>
      </w:r>
    </w:p>
    <w:p w14:paraId="16C70E20" w14:textId="77777777" w:rsidR="00E21948" w:rsidRDefault="00E21948" w:rsidP="00F63E20">
      <w:pPr>
        <w:jc w:val="center"/>
        <w:rPr>
          <w:rFonts w:ascii="Book Antiqua" w:hAnsi="Book Antiqua"/>
          <w:b/>
          <w:sz w:val="24"/>
          <w:szCs w:val="24"/>
          <w:lang w:val="id-ID"/>
        </w:rPr>
      </w:pPr>
    </w:p>
    <w:p w14:paraId="049EE42E" w14:textId="04E320BE" w:rsidR="00904D6D" w:rsidRPr="00E21948" w:rsidRDefault="00E21948" w:rsidP="00DB3F2B">
      <w:pPr>
        <w:jc w:val="center"/>
        <w:rPr>
          <w:rFonts w:ascii="Book Antiqua" w:hAnsi="Book Antiqua"/>
          <w:b/>
          <w:bCs/>
          <w:sz w:val="24"/>
          <w:szCs w:val="24"/>
        </w:rPr>
      </w:pPr>
      <w:r>
        <w:rPr>
          <w:rFonts w:ascii="Book Antiqua" w:hAnsi="Book Antiqua"/>
          <w:b/>
          <w:bCs/>
          <w:sz w:val="24"/>
          <w:szCs w:val="24"/>
        </w:rPr>
        <w:t>Achmad Zainal Huda</w:t>
      </w:r>
      <w:r w:rsidR="00E873C0" w:rsidRPr="00B56D4F">
        <w:rPr>
          <w:rFonts w:ascii="Book Antiqua" w:hAnsi="Book Antiqua"/>
          <w:b/>
          <w:bCs/>
          <w:sz w:val="24"/>
          <w:szCs w:val="24"/>
          <w:vertAlign w:val="superscript"/>
        </w:rPr>
        <w:t>1</w:t>
      </w:r>
      <w:r w:rsidR="00EC761D">
        <w:rPr>
          <w:rFonts w:ascii="Book Antiqua" w:hAnsi="Book Antiqua"/>
          <w:b/>
          <w:bCs/>
          <w:sz w:val="24"/>
          <w:szCs w:val="24"/>
          <w:vertAlign w:val="superscript"/>
        </w:rPr>
        <w:t>*</w:t>
      </w:r>
      <w:r w:rsidR="00E873C0" w:rsidRPr="00B56D4F">
        <w:rPr>
          <w:rFonts w:ascii="Book Antiqua" w:hAnsi="Book Antiqua"/>
          <w:b/>
          <w:bCs/>
          <w:sz w:val="24"/>
          <w:szCs w:val="24"/>
        </w:rPr>
        <w:t xml:space="preserve">, </w:t>
      </w:r>
      <w:r>
        <w:rPr>
          <w:rFonts w:ascii="Book Antiqua" w:hAnsi="Book Antiqua"/>
          <w:b/>
          <w:bCs/>
          <w:sz w:val="24"/>
          <w:szCs w:val="24"/>
        </w:rPr>
        <w:t>Hanief Saha Ghafur</w:t>
      </w:r>
      <w:r w:rsidR="00E873C0" w:rsidRPr="00B56D4F">
        <w:rPr>
          <w:rFonts w:ascii="Book Antiqua" w:hAnsi="Book Antiqua"/>
          <w:b/>
          <w:bCs/>
          <w:sz w:val="24"/>
          <w:szCs w:val="24"/>
          <w:vertAlign w:val="superscript"/>
        </w:rPr>
        <w:t>2</w:t>
      </w:r>
      <w:r>
        <w:rPr>
          <w:rFonts w:ascii="Book Antiqua" w:hAnsi="Book Antiqua"/>
          <w:b/>
          <w:bCs/>
          <w:sz w:val="24"/>
          <w:szCs w:val="24"/>
        </w:rPr>
        <w:t>, Muhammad Syauqillah3, Khusna Widhyahrini</w:t>
      </w:r>
      <w:r w:rsidRPr="00EC761D">
        <w:rPr>
          <w:rFonts w:ascii="Book Antiqua" w:hAnsi="Book Antiqua"/>
          <w:b/>
          <w:bCs/>
          <w:sz w:val="24"/>
          <w:szCs w:val="24"/>
          <w:vertAlign w:val="superscript"/>
        </w:rPr>
        <w:t>4</w:t>
      </w:r>
    </w:p>
    <w:p w14:paraId="5EA462E5" w14:textId="77777777" w:rsidR="0096558F" w:rsidRPr="00B56D4F" w:rsidRDefault="0096558F" w:rsidP="00DB3F2B">
      <w:pPr>
        <w:jc w:val="center"/>
        <w:rPr>
          <w:rFonts w:ascii="Book Antiqua" w:hAnsi="Book Antiqua"/>
          <w:b/>
          <w:bCs/>
          <w:sz w:val="24"/>
          <w:szCs w:val="24"/>
          <w:lang w:val="es-CO"/>
        </w:rPr>
      </w:pPr>
    </w:p>
    <w:p w14:paraId="6372CF25" w14:textId="6D7FFEE7" w:rsidR="007637F6" w:rsidRDefault="00E873C0" w:rsidP="00DB3F2B">
      <w:pPr>
        <w:jc w:val="center"/>
        <w:rPr>
          <w:rFonts w:ascii="Book Antiqua" w:hAnsi="Book Antiqua"/>
          <w:bCs/>
          <w:sz w:val="24"/>
          <w:szCs w:val="24"/>
          <w:lang w:val="id-ID"/>
        </w:rPr>
      </w:pPr>
      <w:r w:rsidRPr="00B56D4F">
        <w:rPr>
          <w:rFonts w:ascii="Book Antiqua" w:hAnsi="Book Antiqua"/>
          <w:bCs/>
          <w:sz w:val="24"/>
          <w:szCs w:val="24"/>
          <w:vertAlign w:val="superscript"/>
        </w:rPr>
        <w:t>1</w:t>
      </w:r>
      <w:r w:rsidR="00E21948">
        <w:rPr>
          <w:rFonts w:ascii="Book Antiqua" w:hAnsi="Book Antiqua"/>
          <w:bCs/>
          <w:sz w:val="24"/>
          <w:szCs w:val="24"/>
          <w:vertAlign w:val="superscript"/>
        </w:rPr>
        <w:t>,2,3</w:t>
      </w:r>
      <w:r w:rsidR="00E21948">
        <w:rPr>
          <w:rFonts w:ascii="Book Antiqua" w:hAnsi="Book Antiqua"/>
          <w:bCs/>
          <w:sz w:val="24"/>
          <w:szCs w:val="24"/>
        </w:rPr>
        <w:t>Department of Terrorism Studies</w:t>
      </w:r>
      <w:r w:rsidR="00F63E20" w:rsidRPr="00B56D4F">
        <w:rPr>
          <w:rFonts w:ascii="Book Antiqua" w:hAnsi="Book Antiqua"/>
          <w:bCs/>
          <w:sz w:val="24"/>
          <w:szCs w:val="24"/>
          <w:lang w:val="id-ID"/>
        </w:rPr>
        <w:t xml:space="preserve">, </w:t>
      </w:r>
      <w:r w:rsidR="00E21948">
        <w:rPr>
          <w:rFonts w:ascii="Book Antiqua" w:hAnsi="Book Antiqua"/>
          <w:bCs/>
          <w:sz w:val="24"/>
          <w:szCs w:val="24"/>
        </w:rPr>
        <w:t xml:space="preserve">School of Strategic and Global Studies, </w:t>
      </w:r>
      <w:r w:rsidR="007637F6" w:rsidRPr="00B56D4F">
        <w:rPr>
          <w:rFonts w:ascii="Book Antiqua" w:hAnsi="Book Antiqua"/>
          <w:bCs/>
          <w:sz w:val="24"/>
          <w:szCs w:val="24"/>
        </w:rPr>
        <w:t>Universitas</w:t>
      </w:r>
      <w:r w:rsidR="00E21948">
        <w:rPr>
          <w:rFonts w:ascii="Book Antiqua" w:hAnsi="Book Antiqua"/>
          <w:bCs/>
          <w:sz w:val="24"/>
          <w:szCs w:val="24"/>
        </w:rPr>
        <w:t xml:space="preserve"> Indonesia</w:t>
      </w:r>
      <w:r w:rsidR="00EE5A23" w:rsidRPr="00B56D4F">
        <w:rPr>
          <w:rFonts w:ascii="Book Antiqua" w:hAnsi="Book Antiqua"/>
          <w:bCs/>
          <w:sz w:val="24"/>
          <w:szCs w:val="24"/>
          <w:lang w:val="id-ID"/>
        </w:rPr>
        <w:t>,</w:t>
      </w:r>
      <w:r w:rsidR="00F63E20" w:rsidRPr="00B56D4F">
        <w:rPr>
          <w:rFonts w:ascii="Book Antiqua" w:hAnsi="Book Antiqua"/>
          <w:bCs/>
          <w:sz w:val="24"/>
          <w:szCs w:val="24"/>
          <w:lang w:val="id-ID"/>
        </w:rPr>
        <w:t xml:space="preserve"> </w:t>
      </w:r>
      <w:r w:rsidR="00E21948">
        <w:rPr>
          <w:rFonts w:ascii="Book Antiqua" w:hAnsi="Book Antiqua"/>
          <w:bCs/>
          <w:sz w:val="24"/>
          <w:szCs w:val="24"/>
        </w:rPr>
        <w:t>Jakarta</w:t>
      </w:r>
      <w:r w:rsidR="00F63E20" w:rsidRPr="00B56D4F">
        <w:rPr>
          <w:rFonts w:ascii="Book Antiqua" w:hAnsi="Book Antiqua"/>
          <w:bCs/>
          <w:sz w:val="24"/>
          <w:szCs w:val="24"/>
          <w:lang w:val="id-ID"/>
        </w:rPr>
        <w:t>,</w:t>
      </w:r>
      <w:r w:rsidR="00EE5A23" w:rsidRPr="00B56D4F">
        <w:rPr>
          <w:rFonts w:ascii="Book Antiqua" w:hAnsi="Book Antiqua"/>
          <w:bCs/>
          <w:sz w:val="24"/>
          <w:szCs w:val="24"/>
          <w:lang w:val="id-ID"/>
        </w:rPr>
        <w:t xml:space="preserve"> </w:t>
      </w:r>
      <w:r w:rsidR="00F63E20" w:rsidRPr="00B56D4F">
        <w:rPr>
          <w:rFonts w:ascii="Book Antiqua" w:hAnsi="Book Antiqua"/>
          <w:bCs/>
          <w:sz w:val="24"/>
          <w:szCs w:val="24"/>
          <w:lang w:val="id-ID"/>
        </w:rPr>
        <w:t>Indonesia</w:t>
      </w:r>
    </w:p>
    <w:p w14:paraId="014CC6E7" w14:textId="21A183EC" w:rsidR="00E21948" w:rsidRDefault="00E21948" w:rsidP="00DB3F2B">
      <w:pPr>
        <w:jc w:val="center"/>
        <w:rPr>
          <w:rFonts w:ascii="Book Antiqua" w:hAnsi="Book Antiqua"/>
          <w:bCs/>
          <w:sz w:val="24"/>
          <w:szCs w:val="24"/>
        </w:rPr>
      </w:pPr>
      <w:r w:rsidRPr="00EC761D">
        <w:rPr>
          <w:rFonts w:ascii="Book Antiqua" w:hAnsi="Book Antiqua"/>
          <w:bCs/>
          <w:sz w:val="24"/>
          <w:szCs w:val="24"/>
          <w:vertAlign w:val="superscript"/>
        </w:rPr>
        <w:t>4</w:t>
      </w:r>
      <w:r>
        <w:rPr>
          <w:rFonts w:ascii="Book Antiqua" w:hAnsi="Book Antiqua"/>
          <w:bCs/>
          <w:sz w:val="24"/>
          <w:szCs w:val="24"/>
        </w:rPr>
        <w:t xml:space="preserve">Science Education, </w:t>
      </w:r>
      <w:r w:rsidR="00EC761D">
        <w:rPr>
          <w:rFonts w:ascii="Book Antiqua" w:hAnsi="Book Antiqua"/>
          <w:bCs/>
          <w:sz w:val="24"/>
          <w:szCs w:val="24"/>
        </w:rPr>
        <w:t>FTIK</w:t>
      </w:r>
      <w:r>
        <w:rPr>
          <w:rFonts w:ascii="Book Antiqua" w:hAnsi="Book Antiqua"/>
          <w:bCs/>
          <w:sz w:val="24"/>
          <w:szCs w:val="24"/>
        </w:rPr>
        <w:t>, UIN Salatiga, Central Java</w:t>
      </w:r>
    </w:p>
    <w:p w14:paraId="4C4EC01D" w14:textId="421427D7" w:rsidR="00EC761D" w:rsidRDefault="00EC761D" w:rsidP="00DB3F2B">
      <w:pPr>
        <w:jc w:val="center"/>
        <w:rPr>
          <w:rFonts w:ascii="Book Antiqua" w:hAnsi="Book Antiqua"/>
          <w:bCs/>
          <w:sz w:val="24"/>
          <w:szCs w:val="24"/>
        </w:rPr>
      </w:pPr>
    </w:p>
    <w:p w14:paraId="1A494976" w14:textId="186BCD8D" w:rsidR="00EC761D" w:rsidRPr="00E21948" w:rsidRDefault="00EC761D" w:rsidP="00DB3F2B">
      <w:pPr>
        <w:jc w:val="center"/>
        <w:rPr>
          <w:rFonts w:ascii="Book Antiqua" w:hAnsi="Book Antiqua"/>
          <w:bCs/>
          <w:sz w:val="24"/>
          <w:szCs w:val="24"/>
        </w:rPr>
      </w:pPr>
      <w:r>
        <w:rPr>
          <w:rFonts w:ascii="Book Antiqua" w:hAnsi="Book Antiqua"/>
          <w:bCs/>
          <w:sz w:val="24"/>
          <w:szCs w:val="24"/>
        </w:rPr>
        <w:t xml:space="preserve">*E-mail: </w:t>
      </w:r>
      <w:hyperlink r:id="rId8" w:history="1">
        <w:r w:rsidRPr="00EC761D">
          <w:rPr>
            <w:rFonts w:ascii="Book Antiqua" w:hAnsi="Book Antiqua"/>
            <w:sz w:val="24"/>
            <w:szCs w:val="24"/>
          </w:rPr>
          <w:t>azainalhuda@gmail.com</w:t>
        </w:r>
      </w:hyperlink>
      <w:r>
        <w:rPr>
          <w:rFonts w:ascii="Book Antiqua" w:hAnsi="Book Antiqua"/>
          <w:sz w:val="24"/>
          <w:szCs w:val="24"/>
        </w:rPr>
        <w:t xml:space="preserve"> </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rFonts w:ascii="Book Antiqua" w:hAnsi="Book Antiqua"/>
                <w:b/>
                <w:bCs/>
                <w:i/>
                <w:iCs/>
                <w:sz w:val="24"/>
                <w:szCs w:val="24"/>
                <w:lang w:val="id-ID"/>
              </w:rPr>
              <w:t xml:space="preserve">Article </w:t>
            </w:r>
            <w:r w:rsidR="00E851F1" w:rsidRPr="00B56D4F">
              <w:rPr>
                <w:rFonts w:ascii="Book Antiqua" w:hAnsi="Book Antiqua"/>
                <w:b/>
                <w:bCs/>
                <w:i/>
                <w:iCs/>
                <w:sz w:val="24"/>
                <w:szCs w:val="24"/>
                <w:lang w:val="id-ID"/>
              </w:rPr>
              <w:t xml:space="preserve">Info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rFonts w:ascii="Book Antiqua" w:hAnsi="Book Antiqua"/>
                <w:b/>
                <w:bCs/>
                <w:i/>
                <w:iCs/>
                <w:sz w:val="24"/>
                <w:szCs w:val="24"/>
                <w:lang w:val="id-ID"/>
              </w:rPr>
              <w:t>Abstract</w:t>
            </w:r>
          </w:p>
        </w:tc>
      </w:tr>
      <w:tr w:rsidR="00B56D4F" w:rsidRPr="00B56D4F" w14:paraId="1EA70136" w14:textId="77777777" w:rsidTr="004F44EE">
        <w:trPr>
          <w:trHeight w:val="2551"/>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Recei</w:t>
            </w:r>
            <w:r w:rsidR="006D1334" w:rsidRPr="00B56D4F">
              <w:rPr>
                <w:rFonts w:ascii="Book Antiqua" w:hAnsi="Book Antiqua"/>
                <w:bCs/>
                <w:i/>
                <w:iCs/>
                <w:sz w:val="24"/>
                <w:szCs w:val="24"/>
                <w:lang w:val="id-ID"/>
              </w:rPr>
              <w:t>ved</w:t>
            </w:r>
            <w:r w:rsidR="00E851F1" w:rsidRPr="00B56D4F">
              <w:rPr>
                <w:rFonts w:ascii="Book Antiqua" w:hAnsi="Book Antiqua"/>
                <w:bCs/>
                <w:i/>
                <w:iCs/>
                <w:sz w:val="24"/>
                <w:szCs w:val="24"/>
                <w:lang w:val="id-ID"/>
              </w:rPr>
              <w:t>:</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Revised</w:t>
            </w:r>
            <w:r w:rsidR="00E851F1" w:rsidRPr="00B56D4F">
              <w:rPr>
                <w:rFonts w:ascii="Book Antiqua" w:hAnsi="Book Antiqua"/>
                <w:bCs/>
                <w:i/>
                <w:iCs/>
                <w:sz w:val="24"/>
                <w:szCs w:val="24"/>
                <w:lang w:val="id-ID"/>
              </w:rPr>
              <w:t>:</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Accepted</w:t>
            </w:r>
            <w:r w:rsidR="00E851F1" w:rsidRPr="00B56D4F">
              <w:rPr>
                <w:rFonts w:ascii="Book Antiqua" w:hAnsi="Book Antiqua"/>
                <w:bCs/>
                <w:i/>
                <w:iCs/>
                <w:sz w:val="24"/>
                <w:szCs w:val="24"/>
                <w:lang w:val="id-ID"/>
              </w:rPr>
              <w:t>:</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rFonts w:ascii="Book Antiqua" w:hAnsi="Book Antiqua"/>
                <w:b/>
                <w:bCs/>
                <w:i/>
                <w:iCs/>
                <w:sz w:val="24"/>
                <w:szCs w:val="24"/>
                <w:lang w:val="id-ID"/>
              </w:rPr>
              <w:t>Keywords:</w:t>
            </w:r>
          </w:p>
          <w:p w14:paraId="7B3AF09A" w14:textId="77777777" w:rsidR="007F76FD" w:rsidRPr="00B56D4F" w:rsidRDefault="00E27542" w:rsidP="00E27542">
            <w:pPr>
              <w:tabs>
                <w:tab w:val="left" w:pos="330"/>
              </w:tabs>
              <w:rPr>
                <w:rFonts w:ascii="Book Antiqua" w:hAnsi="Book Antiqua"/>
                <w:bCs/>
                <w:i/>
                <w:iCs/>
                <w:sz w:val="24"/>
                <w:szCs w:val="24"/>
              </w:rPr>
            </w:pPr>
            <w:r w:rsidRPr="00B56D4F">
              <w:rPr>
                <w:rFonts w:ascii="Book Antiqua" w:hAnsi="Book Antiqua"/>
                <w:i/>
                <w:sz w:val="24"/>
                <w:szCs w:val="24"/>
              </w:rPr>
              <w:t xml:space="preserve">Legal protection; </w:t>
            </w:r>
            <w:r w:rsidR="00E873C0" w:rsidRPr="00B56D4F">
              <w:rPr>
                <w:rFonts w:ascii="Book Antiqua" w:hAnsi="Book Antiqua"/>
                <w:i/>
                <w:sz w:val="24"/>
                <w:szCs w:val="24"/>
              </w:rPr>
              <w:t>Traditional Knowledge</w:t>
            </w:r>
            <w:r w:rsidRPr="00B56D4F">
              <w:rPr>
                <w:rFonts w:ascii="Book Antiqua" w:hAnsi="Book Antiqua"/>
                <w:i/>
                <w:sz w:val="24"/>
                <w:szCs w:val="24"/>
              </w:rPr>
              <w:t>;</w:t>
            </w:r>
            <w:r w:rsidR="007F76FD" w:rsidRPr="00B56D4F">
              <w:rPr>
                <w:rFonts w:ascii="Book Antiqua" w:hAnsi="Book Antiqua"/>
                <w:i/>
                <w:sz w:val="24"/>
                <w:szCs w:val="24"/>
                <w:lang w:val="id-ID"/>
              </w:rPr>
              <w:t xml:space="preserve"> </w:t>
            </w:r>
            <w:r w:rsidR="00E873C0" w:rsidRPr="00B56D4F">
              <w:rPr>
                <w:rFonts w:ascii="Book Antiqua" w:hAnsi="Book Antiqua"/>
                <w:i/>
                <w:sz w:val="24"/>
                <w:szCs w:val="24"/>
              </w:rPr>
              <w:t>Copyrights</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005FC034" w14:textId="78003740" w:rsidR="00EC761D" w:rsidRDefault="00EC761D" w:rsidP="00EC761D">
            <w:pPr>
              <w:jc w:val="both"/>
              <w:rPr>
                <w:rFonts w:ascii="Book Antiqua" w:hAnsi="Book Antiqua"/>
                <w:i/>
              </w:rPr>
            </w:pPr>
            <w:r w:rsidRPr="00EC761D">
              <w:rPr>
                <w:rFonts w:ascii="Book Antiqua" w:hAnsi="Book Antiqua"/>
                <w:i/>
              </w:rPr>
              <w:t xml:space="preserve">Intelligence is defined as information or knowledge needed to guarantee national security. Intelligence information is needed to read and analyze the movements of terrorist groups, to prevent and minimize the impacts that arise in counter-terrorism efforts. </w:t>
            </w:r>
            <w:r w:rsidR="00B834E7">
              <w:rPr>
                <w:rFonts w:ascii="Book Antiqua" w:hAnsi="Book Antiqua"/>
                <w:i/>
              </w:rPr>
              <w:t>P</w:t>
            </w:r>
            <w:r w:rsidRPr="00EC761D">
              <w:rPr>
                <w:rFonts w:ascii="Book Antiqua" w:hAnsi="Book Antiqua"/>
                <w:i/>
              </w:rPr>
              <w:t xml:space="preserve">reliminary evidence from intelligence reports authorizes Special Detachment 88 to arrest suspected terrorists. This research is a case study research that aims to analyze the role of intelligence in countering terrorism in Indonesia in the Thamrin Bombing, the Poso violence, and the Bombing in front of the Cathedral, Makassar. This research finds that intelligence has a very significant role in countering terrorism in Indonesia. However, this role is hampered by the limits of authority and responsibility that can be carried out by the Intelligence Agency or Agency. This condition can be overcome by </w:t>
            </w:r>
            <w:r w:rsidR="00B834E7">
              <w:rPr>
                <w:rFonts w:ascii="Book Antiqua" w:hAnsi="Book Antiqua"/>
                <w:i/>
              </w:rPr>
              <w:t xml:space="preserve">the </w:t>
            </w:r>
            <w:r w:rsidRPr="00EC761D">
              <w:rPr>
                <w:rFonts w:ascii="Book Antiqua" w:hAnsi="Book Antiqua"/>
                <w:i/>
              </w:rPr>
              <w:t>synergy between intelligence organizations and counterterrorism agencies in Indonesia. In addition, intelligence can also be given the authority to take priority actions for early prevention.</w:t>
            </w:r>
          </w:p>
          <w:p w14:paraId="3C7F4F27" w14:textId="7B0C7018" w:rsidR="00EC761D" w:rsidRDefault="00EC761D" w:rsidP="00EC761D">
            <w:pPr>
              <w:jc w:val="both"/>
              <w:rPr>
                <w:rFonts w:ascii="Book Antiqua" w:hAnsi="Book Antiqua"/>
                <w:i/>
              </w:rPr>
            </w:pPr>
          </w:p>
          <w:p w14:paraId="2170D31D" w14:textId="6E174458" w:rsidR="00EC761D" w:rsidRPr="00EC761D" w:rsidRDefault="00EC761D" w:rsidP="00E27542">
            <w:pPr>
              <w:jc w:val="both"/>
              <w:rPr>
                <w:rFonts w:ascii="Book Antiqua" w:hAnsi="Book Antiqua"/>
                <w:i/>
              </w:rPr>
            </w:pPr>
            <w:r w:rsidRPr="00EC761D">
              <w:rPr>
                <w:rFonts w:ascii="Book Antiqua" w:hAnsi="Book Antiqua"/>
                <w:b/>
                <w:bCs/>
                <w:i/>
              </w:rPr>
              <w:t>Keywords</w:t>
            </w:r>
            <w:r>
              <w:rPr>
                <w:rFonts w:ascii="Book Antiqua" w:hAnsi="Book Antiqua"/>
                <w:i/>
              </w:rPr>
              <w:t>: Intelligence policy, Terrorism, government’s role</w:t>
            </w:r>
          </w:p>
          <w:p w14:paraId="27C72A1A" w14:textId="3BD9B681" w:rsidR="00C67789" w:rsidRPr="00B56D4F" w:rsidRDefault="00C67789" w:rsidP="00E27542">
            <w:pPr>
              <w:jc w:val="both"/>
              <w:rPr>
                <w:rFonts w:ascii="Book Antiqua" w:hAnsi="Book Antiqua"/>
                <w:i/>
                <w:sz w:val="24"/>
                <w:szCs w:val="24"/>
              </w:rPr>
            </w:pPr>
          </w:p>
        </w:tc>
      </w:tr>
      <w:tr w:rsidR="00B56D4F" w:rsidRPr="00B56D4F" w14:paraId="0AB5E8FC" w14:textId="77777777" w:rsidTr="004F44EE">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7FB7C41D" w14:textId="77777777" w:rsidR="0096558F" w:rsidRPr="00B56D4F" w:rsidRDefault="0096558F" w:rsidP="00DB3F2B">
      <w:pPr>
        <w:rPr>
          <w:rFonts w:ascii="Book Antiqua" w:hAnsi="Book Antiqua"/>
          <w:b/>
          <w:bCs/>
          <w:i/>
          <w:iCs/>
          <w:sz w:val="24"/>
          <w:szCs w:val="24"/>
          <w:lang w:val="id-ID"/>
        </w:rPr>
      </w:pPr>
    </w:p>
    <w:p w14:paraId="47EB920F" w14:textId="78897B64" w:rsidR="00DB3F2B" w:rsidRPr="00B56D4F" w:rsidRDefault="006D1334" w:rsidP="00882EA9">
      <w:pPr>
        <w:numPr>
          <w:ilvl w:val="0"/>
          <w:numId w:val="18"/>
        </w:numPr>
        <w:spacing w:after="240"/>
        <w:ind w:left="284" w:hanging="283"/>
        <w:rPr>
          <w:rFonts w:ascii="Book Antiqua" w:hAnsi="Book Antiqua"/>
          <w:b/>
          <w:bCs/>
          <w:sz w:val="24"/>
          <w:szCs w:val="24"/>
          <w:lang w:val="id-ID"/>
        </w:rPr>
      </w:pPr>
      <w:r w:rsidRPr="00B56D4F">
        <w:rPr>
          <w:rFonts w:ascii="Book Antiqua" w:hAnsi="Book Antiqua"/>
          <w:b/>
          <w:bCs/>
          <w:sz w:val="24"/>
          <w:szCs w:val="24"/>
          <w:lang w:val="id-ID"/>
        </w:rPr>
        <w:t>Introduction</w:t>
      </w:r>
    </w:p>
    <w:p w14:paraId="7A0AD4FB" w14:textId="7C815E3E" w:rsidR="001A1635" w:rsidRPr="001A1635" w:rsidRDefault="001A1635" w:rsidP="001A1635">
      <w:pPr>
        <w:ind w:left="-142"/>
        <w:jc w:val="both"/>
        <w:rPr>
          <w:rFonts w:ascii="Book Antiqua" w:hAnsi="Book Antiqua"/>
          <w:sz w:val="24"/>
          <w:szCs w:val="24"/>
        </w:rPr>
      </w:pPr>
      <w:r w:rsidRPr="001A1635">
        <w:rPr>
          <w:rFonts w:ascii="Book Antiqua" w:hAnsi="Book Antiqua"/>
          <w:sz w:val="24"/>
          <w:szCs w:val="24"/>
        </w:rPr>
        <w:t>Problems</w:t>
      </w:r>
      <w:r>
        <w:rPr>
          <w:rFonts w:ascii="Book Antiqua" w:hAnsi="Book Antiqua"/>
          <w:sz w:val="24"/>
          <w:szCs w:val="24"/>
        </w:rPr>
        <w:t xml:space="preserve"> </w:t>
      </w:r>
      <w:r w:rsidRPr="001A1635">
        <w:rPr>
          <w:rFonts w:ascii="Book Antiqua" w:hAnsi="Book Antiqua"/>
          <w:sz w:val="24"/>
          <w:szCs w:val="24"/>
        </w:rPr>
        <w:t>Terrorism is still one of the main studies in global security threat discourse. This is inseparable from the fact that terrorism is still the most dangerous form of political violence in the</w:t>
      </w:r>
      <w:r>
        <w:rPr>
          <w:rFonts w:ascii="Book Antiqua" w:hAnsi="Book Antiqua"/>
          <w:sz w:val="24"/>
          <w:szCs w:val="24"/>
        </w:rPr>
        <w:t xml:space="preserve"> world because</w:t>
      </w:r>
      <w:r w:rsidRPr="001A1635">
        <w:rPr>
          <w:rFonts w:ascii="Book Antiqua" w:hAnsi="Book Antiqua"/>
          <w:sz w:val="24"/>
          <w:szCs w:val="24"/>
        </w:rPr>
        <w:t xml:space="preserve"> the high death rate (fatality rate) from terrorist attacks</w:t>
      </w:r>
      <w:r>
        <w:rPr>
          <w:rFonts w:ascii="Book Antiqua" w:hAnsi="Book Antiqua"/>
          <w:sz w:val="24"/>
          <w:szCs w:val="24"/>
        </w:rPr>
        <w:t xml:space="preserve"> </w:t>
      </w:r>
      <w:r w:rsidR="00A81A21">
        <w:rPr>
          <w:rStyle w:val="FootnoteReference"/>
          <w:rFonts w:ascii="Book Antiqua" w:hAnsi="Book Antiqua"/>
          <w:sz w:val="24"/>
          <w:szCs w:val="24"/>
        </w:rPr>
        <w:footnoteReference w:id="1"/>
      </w:r>
      <w:r w:rsidRPr="001A1635">
        <w:rPr>
          <w:rFonts w:ascii="Book Antiqua" w:hAnsi="Book Antiqua"/>
          <w:sz w:val="24"/>
          <w:szCs w:val="24"/>
        </w:rPr>
        <w:t>.</w:t>
      </w:r>
      <w:r>
        <w:rPr>
          <w:rFonts w:ascii="Book Antiqua" w:hAnsi="Book Antiqua"/>
          <w:sz w:val="24"/>
          <w:szCs w:val="24"/>
        </w:rPr>
        <w:t xml:space="preserve"> </w:t>
      </w:r>
      <w:r w:rsidRPr="001A1635">
        <w:rPr>
          <w:rFonts w:ascii="Book Antiqua" w:hAnsi="Book Antiqua"/>
          <w:sz w:val="24"/>
          <w:szCs w:val="24"/>
        </w:rPr>
        <w:t xml:space="preserve">Acts of terrorism every year cause many casualties, </w:t>
      </w:r>
      <w:r>
        <w:rPr>
          <w:rFonts w:ascii="Book Antiqua" w:hAnsi="Book Antiqua"/>
          <w:sz w:val="24"/>
          <w:szCs w:val="24"/>
        </w:rPr>
        <w:t xml:space="preserve">damaged </w:t>
      </w:r>
      <w:r w:rsidRPr="001A1635">
        <w:rPr>
          <w:rFonts w:ascii="Book Antiqua" w:hAnsi="Book Antiqua"/>
          <w:sz w:val="24"/>
          <w:szCs w:val="24"/>
        </w:rPr>
        <w:t xml:space="preserve">to property, threaten the country's stability in the economic, security, and defense fields. On November 3, 2020, there was a terror attack in </w:t>
      </w:r>
      <w:r w:rsidRPr="001A1635">
        <w:rPr>
          <w:rFonts w:ascii="Book Antiqua" w:hAnsi="Book Antiqua"/>
          <w:sz w:val="24"/>
          <w:szCs w:val="24"/>
        </w:rPr>
        <w:lastRenderedPageBreak/>
        <w:t>Vienna, Australia which killed 7 people</w:t>
      </w:r>
      <w:r w:rsidR="009350FD">
        <w:rPr>
          <w:rFonts w:ascii="Book Antiqua" w:hAnsi="Book Antiqua"/>
          <w:sz w:val="24"/>
          <w:szCs w:val="24"/>
        </w:rPr>
        <w:t xml:space="preserve"> </w:t>
      </w:r>
      <w:r w:rsidR="00A81A21">
        <w:rPr>
          <w:rStyle w:val="FootnoteReference"/>
          <w:rFonts w:ascii="Book Antiqua" w:hAnsi="Book Antiqua"/>
          <w:sz w:val="24"/>
          <w:szCs w:val="24"/>
        </w:rPr>
        <w:footnoteReference w:id="2"/>
      </w:r>
      <w:r w:rsidRPr="001A1635">
        <w:rPr>
          <w:rFonts w:ascii="Book Antiqua" w:hAnsi="Book Antiqua"/>
          <w:sz w:val="24"/>
          <w:szCs w:val="24"/>
        </w:rPr>
        <w:t>. The perpetrators in this incident carried out terror attacks using assault rifles which were carried out by several people at six locations in the Synagogue. Meanwhile on July 24 2021, two Turkish soldiers were reported killed and two others injured as a result of a terrorist attack that occurred in Syria</w:t>
      </w:r>
      <w:r w:rsidR="00A81A21">
        <w:rPr>
          <w:rStyle w:val="FootnoteReference"/>
          <w:rFonts w:ascii="Book Antiqua" w:hAnsi="Book Antiqua"/>
          <w:sz w:val="24"/>
          <w:szCs w:val="24"/>
        </w:rPr>
        <w:footnoteReference w:id="3"/>
      </w:r>
      <w:r w:rsidRPr="001A1635">
        <w:rPr>
          <w:rFonts w:ascii="Book Antiqua" w:hAnsi="Book Antiqua"/>
          <w:sz w:val="24"/>
          <w:szCs w:val="24"/>
        </w:rPr>
        <w:t>. Acts of terrorism in Syria are still happening to this day, even though Turkey has launched three anti-terror operations on the border to fight ISIS and Kurdish militias since 2016. This shows the world that the threat of terrorism still overshadows the world community, even in the midst of a pandemic. Covid-19. Terrorist groups are taking advantage of the pandemic situation to find loopholes for the government's weaknesses in maintaining national stability.</w:t>
      </w:r>
    </w:p>
    <w:p w14:paraId="0C999134" w14:textId="2889920F" w:rsidR="001A1635" w:rsidRPr="001A1635" w:rsidRDefault="001A1635" w:rsidP="001A1635">
      <w:pPr>
        <w:ind w:left="-142"/>
        <w:jc w:val="both"/>
        <w:rPr>
          <w:rFonts w:ascii="Book Antiqua" w:hAnsi="Book Antiqua"/>
          <w:sz w:val="24"/>
          <w:szCs w:val="24"/>
        </w:rPr>
      </w:pPr>
      <w:r w:rsidRPr="001A1635">
        <w:rPr>
          <w:rFonts w:ascii="Book Antiqua" w:hAnsi="Book Antiqua"/>
          <w:sz w:val="24"/>
          <w:szCs w:val="24"/>
        </w:rPr>
        <w:t>Indonesia is one of the countries with the highest number of terror groups and acts of terrorism in the region.In 2018, Indonesia even became one of the countries in the Asia Pacific that received a bad score due to the high number of domestic terrorism attacks.</w:t>
      </w:r>
      <w:r w:rsidR="007471A6">
        <w:rPr>
          <w:rFonts w:ascii="Book Antiqua" w:hAnsi="Book Antiqua"/>
          <w:sz w:val="24"/>
          <w:szCs w:val="24"/>
        </w:rPr>
        <w:t xml:space="preserve"> </w:t>
      </w:r>
      <w:r w:rsidRPr="001A1635">
        <w:rPr>
          <w:rFonts w:ascii="Book Antiqua" w:hAnsi="Book Antiqua"/>
          <w:sz w:val="24"/>
          <w:szCs w:val="24"/>
        </w:rPr>
        <w:t xml:space="preserve">One of the </w:t>
      </w:r>
      <w:r w:rsidR="007471A6" w:rsidRPr="001A1635">
        <w:rPr>
          <w:rFonts w:ascii="Book Antiqua" w:hAnsi="Book Antiqua"/>
          <w:sz w:val="24"/>
          <w:szCs w:val="24"/>
        </w:rPr>
        <w:t>terrorist</w:t>
      </w:r>
      <w:r w:rsidRPr="001A1635">
        <w:rPr>
          <w:rFonts w:ascii="Book Antiqua" w:hAnsi="Book Antiqua"/>
          <w:sz w:val="24"/>
          <w:szCs w:val="24"/>
        </w:rPr>
        <w:t xml:space="preserve"> attacks that shook Indonesia the most was the 2002 Bali Bombing. This attack targeted a nightclub and the United States Consulate General's office in Bali, killing 202 people</w:t>
      </w:r>
      <w:r w:rsidR="00FD4AC9">
        <w:rPr>
          <w:rFonts w:ascii="Book Antiqua" w:hAnsi="Book Antiqua"/>
          <w:sz w:val="24"/>
          <w:szCs w:val="24"/>
        </w:rPr>
        <w:t xml:space="preserve"> </w:t>
      </w:r>
      <w:r w:rsidR="00A81A21">
        <w:rPr>
          <w:rStyle w:val="FootnoteReference"/>
          <w:rFonts w:ascii="Book Antiqua" w:hAnsi="Book Antiqua"/>
          <w:sz w:val="24"/>
          <w:szCs w:val="24"/>
        </w:rPr>
        <w:footnoteReference w:id="4"/>
      </w:r>
      <w:r w:rsidRPr="001A1635">
        <w:rPr>
          <w:rFonts w:ascii="Book Antiqua" w:hAnsi="Book Antiqua"/>
          <w:sz w:val="24"/>
          <w:szCs w:val="24"/>
        </w:rPr>
        <w:t>. Prior to this incident, there was also a series of other acts of terrorism in Indonesia. On January 21, 1985, a bomb exploded at Borobudur Temple which damaged nine stupas and two statues. Dozens of years ago, on September 13</w:t>
      </w:r>
      <w:r w:rsidR="00680A08">
        <w:rPr>
          <w:rFonts w:ascii="Book Antiqua" w:hAnsi="Book Antiqua"/>
          <w:sz w:val="24"/>
          <w:szCs w:val="24"/>
        </w:rPr>
        <w:t>rd</w:t>
      </w:r>
      <w:r w:rsidRPr="001A1635">
        <w:rPr>
          <w:rFonts w:ascii="Book Antiqua" w:hAnsi="Book Antiqua"/>
          <w:sz w:val="24"/>
          <w:szCs w:val="24"/>
        </w:rPr>
        <w:t>, 2000 to be exact, a car explosion occurred at the Jakarta Stock Exchange Building, killing 10 people and injuring 33 others. Several months later, on December 24, 2000 to be precise, there was a terrorist attack on four churches in Jakarta and killed 15 people and injured 96 people</w:t>
      </w:r>
      <w:r w:rsidR="00183CAA">
        <w:rPr>
          <w:rFonts w:ascii="Book Antiqua" w:hAnsi="Book Antiqua"/>
          <w:sz w:val="24"/>
          <w:szCs w:val="24"/>
        </w:rPr>
        <w:t xml:space="preserve"> </w:t>
      </w:r>
      <w:r w:rsidR="00A81A21">
        <w:rPr>
          <w:rStyle w:val="FootnoteReference"/>
          <w:rFonts w:ascii="Book Antiqua" w:hAnsi="Book Antiqua"/>
          <w:sz w:val="24"/>
          <w:szCs w:val="24"/>
        </w:rPr>
        <w:footnoteReference w:id="5"/>
      </w:r>
      <w:r w:rsidRPr="001A1635">
        <w:rPr>
          <w:rFonts w:ascii="Book Antiqua" w:hAnsi="Book Antiqua"/>
          <w:sz w:val="24"/>
          <w:szCs w:val="24"/>
        </w:rPr>
        <w:t>.</w:t>
      </w:r>
    </w:p>
    <w:p w14:paraId="7A6440A5" w14:textId="1413C24C" w:rsidR="001A1635" w:rsidRPr="001A1635" w:rsidRDefault="001A1635" w:rsidP="001A1635">
      <w:pPr>
        <w:ind w:left="-142"/>
        <w:jc w:val="both"/>
        <w:rPr>
          <w:rFonts w:ascii="Book Antiqua" w:hAnsi="Book Antiqua"/>
          <w:sz w:val="24"/>
          <w:szCs w:val="24"/>
        </w:rPr>
      </w:pPr>
      <w:r w:rsidRPr="001A1635">
        <w:rPr>
          <w:rFonts w:ascii="Book Antiqua" w:hAnsi="Book Antiqua"/>
          <w:sz w:val="24"/>
          <w:szCs w:val="24"/>
        </w:rPr>
        <w:t>Until 2021, in the midst of the world condition which is facing the Covid-19 pandemic, terrorist attacks in Indonesia are still rife. On March 28 2021, the husband and wife L and YSM committed a terrorist act at the Cathedral Church, Makassar</w:t>
      </w:r>
      <w:r w:rsidR="007471A6">
        <w:rPr>
          <w:rFonts w:ascii="Book Antiqua" w:hAnsi="Book Antiqua"/>
          <w:sz w:val="24"/>
          <w:szCs w:val="24"/>
        </w:rPr>
        <w:t xml:space="preserve"> </w:t>
      </w:r>
      <w:r w:rsidR="00A81A21">
        <w:rPr>
          <w:rStyle w:val="FootnoteReference"/>
          <w:rFonts w:ascii="Book Antiqua" w:hAnsi="Book Antiqua"/>
          <w:sz w:val="24"/>
          <w:szCs w:val="24"/>
        </w:rPr>
        <w:footnoteReference w:id="6"/>
      </w:r>
      <w:r w:rsidRPr="001A1635">
        <w:rPr>
          <w:rFonts w:ascii="Book Antiqua" w:hAnsi="Book Antiqua"/>
          <w:sz w:val="24"/>
          <w:szCs w:val="24"/>
        </w:rPr>
        <w:t xml:space="preserve">. This incident resulted in dozens of people who were carrying out Sunday services </w:t>
      </w:r>
      <w:r>
        <w:rPr>
          <w:rFonts w:ascii="Book Antiqua" w:hAnsi="Book Antiqua"/>
          <w:sz w:val="24"/>
          <w:szCs w:val="24"/>
        </w:rPr>
        <w:t xml:space="preserve">being </w:t>
      </w:r>
      <w:r w:rsidRPr="001A1635">
        <w:rPr>
          <w:rFonts w:ascii="Book Antiqua" w:hAnsi="Book Antiqua"/>
          <w:sz w:val="24"/>
          <w:szCs w:val="24"/>
        </w:rPr>
        <w:t>injured</w:t>
      </w:r>
      <w:r>
        <w:rPr>
          <w:rFonts w:ascii="Book Antiqua" w:hAnsi="Book Antiqua"/>
          <w:sz w:val="24"/>
          <w:szCs w:val="24"/>
        </w:rPr>
        <w:t xml:space="preserve"> </w:t>
      </w:r>
      <w:r w:rsidR="00A81A21">
        <w:rPr>
          <w:rStyle w:val="FootnoteReference"/>
          <w:rFonts w:ascii="Book Antiqua" w:hAnsi="Book Antiqua"/>
          <w:sz w:val="24"/>
          <w:szCs w:val="24"/>
        </w:rPr>
        <w:footnoteReference w:id="7"/>
      </w:r>
      <w:r w:rsidRPr="001A1635">
        <w:rPr>
          <w:rFonts w:ascii="Book Antiqua" w:hAnsi="Book Antiqua"/>
          <w:sz w:val="24"/>
          <w:szCs w:val="24"/>
        </w:rPr>
        <w:t>. The Indonesian Laboratory Analyst Team stated that the explosion was in the category of an explosion that carried moderate damage. Densus 88 on Thursday, 29 July 2021 also arrested the suspected SR terrorist who was suspected of being Ali Kalora's network at his house</w:t>
      </w:r>
      <w:r w:rsidR="007471A6">
        <w:rPr>
          <w:rFonts w:ascii="Book Antiqua" w:hAnsi="Book Antiqua"/>
          <w:sz w:val="24"/>
          <w:szCs w:val="24"/>
        </w:rPr>
        <w:t xml:space="preserve"> </w:t>
      </w:r>
      <w:r w:rsidR="00A81A21">
        <w:rPr>
          <w:rStyle w:val="FootnoteReference"/>
          <w:rFonts w:ascii="Book Antiqua" w:hAnsi="Book Antiqua"/>
          <w:sz w:val="24"/>
          <w:szCs w:val="24"/>
        </w:rPr>
        <w:footnoteReference w:id="8"/>
      </w:r>
      <w:r w:rsidRPr="001A1635">
        <w:rPr>
          <w:rFonts w:ascii="Book Antiqua" w:hAnsi="Book Antiqua"/>
          <w:sz w:val="24"/>
          <w:szCs w:val="24"/>
        </w:rPr>
        <w:t>. From the arrest, the officers also confiscated a number of items of evidence, such as books, arrows, and clothing that were allegedly related to acts of terrorism. The magnitude of the impact resulting from terrorism causes this crime to be included in crimes against humanity (crime against humanity) and classified in the category of extraordinary crimes (extra ordinary crime).</w:t>
      </w:r>
    </w:p>
    <w:p w14:paraId="7310E217" w14:textId="551197AE" w:rsidR="001A1635" w:rsidRPr="001A1635" w:rsidRDefault="001A1635" w:rsidP="001A1635">
      <w:pPr>
        <w:ind w:left="-142"/>
        <w:jc w:val="both"/>
        <w:rPr>
          <w:rFonts w:ascii="Book Antiqua" w:hAnsi="Book Antiqua"/>
          <w:sz w:val="24"/>
          <w:szCs w:val="24"/>
        </w:rPr>
      </w:pPr>
      <w:r w:rsidRPr="001A1635">
        <w:rPr>
          <w:rFonts w:ascii="Book Antiqua" w:hAnsi="Book Antiqua"/>
          <w:sz w:val="24"/>
          <w:szCs w:val="24"/>
        </w:rPr>
        <w:t>As a form of extraordinary crime (extraordinary crime), terrorism requires handling in extraordinary ways (extraordinary measure)</w:t>
      </w:r>
      <w:r w:rsidR="006850AA">
        <w:rPr>
          <w:rFonts w:ascii="Book Antiqua" w:hAnsi="Book Antiqua"/>
          <w:sz w:val="24"/>
          <w:szCs w:val="24"/>
        </w:rPr>
        <w:t xml:space="preserve"> </w:t>
      </w:r>
      <w:r w:rsidR="00A81A21">
        <w:rPr>
          <w:rStyle w:val="FootnoteReference"/>
          <w:rFonts w:ascii="Book Antiqua" w:hAnsi="Book Antiqua"/>
          <w:sz w:val="24"/>
          <w:szCs w:val="24"/>
        </w:rPr>
        <w:footnoteReference w:id="9"/>
      </w:r>
      <w:r w:rsidRPr="001A1635">
        <w:rPr>
          <w:rFonts w:ascii="Book Antiqua" w:hAnsi="Book Antiqua"/>
          <w:sz w:val="24"/>
          <w:szCs w:val="24"/>
        </w:rPr>
        <w:t>. The world's commitment to preventing terrorism is then formulated in several international conventions which generally affirm that terrorism is an international crime. Meanwhile, the Indonesian government through related ministries and institutions has taken various preventive measures and soft approaches such as national preparedness; and a hard approach is carried out through strict law enforcement measures. The government also responded to acts of terrorism that occurred by issuing various policies, such as Law Number 15 of 2003 concerning Eradication of Crimina</w:t>
      </w:r>
      <w:r w:rsidR="00C949A5">
        <w:rPr>
          <w:rFonts w:ascii="Book Antiqua" w:hAnsi="Book Antiqua"/>
          <w:sz w:val="24"/>
          <w:szCs w:val="24"/>
        </w:rPr>
        <w:t>l</w:t>
      </w:r>
      <w:r w:rsidRPr="001A1635">
        <w:rPr>
          <w:rFonts w:ascii="Book Antiqua" w:hAnsi="Book Antiqua"/>
          <w:sz w:val="24"/>
          <w:szCs w:val="24"/>
        </w:rPr>
        <w:t xml:space="preserve"> Acts of Terrorism, the establishment of the National Counterterrorism Agency (BNPT), forming the Special Anti-Terrorism Datasement 88 (Densus 88, the role of the TNI, to the role of Intelligence as preventive as well as curative steps.</w:t>
      </w:r>
    </w:p>
    <w:p w14:paraId="69BE78C6" w14:textId="2A15A422" w:rsidR="001A1635" w:rsidRPr="001A1635" w:rsidRDefault="001A1635" w:rsidP="001A1635">
      <w:pPr>
        <w:ind w:left="-142"/>
        <w:jc w:val="both"/>
        <w:rPr>
          <w:rFonts w:ascii="Book Antiqua" w:hAnsi="Book Antiqua"/>
          <w:sz w:val="24"/>
          <w:szCs w:val="24"/>
        </w:rPr>
      </w:pPr>
      <w:r w:rsidRPr="001A1635">
        <w:rPr>
          <w:rFonts w:ascii="Book Antiqua" w:hAnsi="Book Antiqua"/>
          <w:sz w:val="24"/>
          <w:szCs w:val="24"/>
        </w:rPr>
        <w:t>Head of BNPT, Komjen Pol Rafli Amar</w:t>
      </w:r>
      <w:r w:rsidR="00C949A5">
        <w:rPr>
          <w:rFonts w:ascii="Book Antiqua" w:hAnsi="Book Antiqua"/>
          <w:sz w:val="24"/>
          <w:szCs w:val="24"/>
        </w:rPr>
        <w:t xml:space="preserve"> </w:t>
      </w:r>
      <w:r w:rsidRPr="001A1635">
        <w:rPr>
          <w:rFonts w:ascii="Book Antiqua" w:hAnsi="Book Antiqua"/>
          <w:sz w:val="24"/>
          <w:szCs w:val="24"/>
        </w:rPr>
        <w:t>stated that during the Covid-19 pandemic, suspicious financial transactions increased by up to 101 percent</w:t>
      </w:r>
      <w:r w:rsidR="00C949A5">
        <w:rPr>
          <w:rFonts w:ascii="Book Antiqua" w:hAnsi="Book Antiqua"/>
          <w:sz w:val="24"/>
          <w:szCs w:val="24"/>
        </w:rPr>
        <w:t xml:space="preserve"> </w:t>
      </w:r>
      <w:r w:rsidR="00A81A21">
        <w:rPr>
          <w:rStyle w:val="FootnoteReference"/>
          <w:rFonts w:ascii="Book Antiqua" w:hAnsi="Book Antiqua"/>
          <w:sz w:val="24"/>
          <w:szCs w:val="24"/>
        </w:rPr>
        <w:footnoteReference w:id="10"/>
      </w:r>
      <w:r w:rsidRPr="001A1635">
        <w:rPr>
          <w:rFonts w:ascii="Book Antiqua" w:hAnsi="Book Antiqua"/>
          <w:sz w:val="24"/>
          <w:szCs w:val="24"/>
        </w:rPr>
        <w:t>. As of October 2020, the BNPT reported that it had arrested more than 100 suspected terrorists</w:t>
      </w:r>
      <w:r w:rsidR="00C949A5">
        <w:rPr>
          <w:rFonts w:ascii="Book Antiqua" w:hAnsi="Book Antiqua"/>
          <w:sz w:val="24"/>
          <w:szCs w:val="24"/>
        </w:rPr>
        <w:t xml:space="preserve"> </w:t>
      </w:r>
      <w:r w:rsidR="00A81A21">
        <w:rPr>
          <w:rStyle w:val="FootnoteReference"/>
          <w:rFonts w:ascii="Book Antiqua" w:hAnsi="Book Antiqua"/>
          <w:sz w:val="24"/>
          <w:szCs w:val="24"/>
        </w:rPr>
        <w:footnoteReference w:id="11"/>
      </w:r>
      <w:r w:rsidRPr="001A1635">
        <w:rPr>
          <w:rFonts w:ascii="Book Antiqua" w:hAnsi="Book Antiqua"/>
          <w:sz w:val="24"/>
          <w:szCs w:val="24"/>
        </w:rPr>
        <w:t xml:space="preserve">. </w:t>
      </w:r>
      <w:r w:rsidR="00B834E7">
        <w:rPr>
          <w:rFonts w:ascii="Book Antiqua" w:hAnsi="Book Antiqua"/>
          <w:sz w:val="24"/>
          <w:szCs w:val="24"/>
        </w:rPr>
        <w:t>.</w:t>
      </w:r>
      <w:r w:rsidRPr="001A1635">
        <w:rPr>
          <w:rFonts w:ascii="Book Antiqua" w:hAnsi="Book Antiqua"/>
          <w:sz w:val="24"/>
          <w:szCs w:val="24"/>
        </w:rPr>
        <w:t xml:space="preserve">It was disclosed that the actual figure was twice the figure reported by the BNPT. This significant number indicates that a collaborative and comprehensive handling of terrorism needs to be carried out by various Ministries and Agencies </w:t>
      </w:r>
      <w:r w:rsidR="00B834E7">
        <w:rPr>
          <w:rFonts w:ascii="Book Antiqua" w:hAnsi="Book Antiqua"/>
          <w:sz w:val="24"/>
          <w:szCs w:val="24"/>
        </w:rPr>
        <w:t>under</w:t>
      </w:r>
      <w:r w:rsidRPr="001A1635">
        <w:rPr>
          <w:rFonts w:ascii="Book Antiqua" w:hAnsi="Book Antiqua"/>
          <w:sz w:val="24"/>
          <w:szCs w:val="24"/>
        </w:rPr>
        <w:t xml:space="preserve"> their respective roles and functions. One of the very central roles and functions in counter-terrorism efforts is the intelligence function. The importance of the role of intelligence agencies in counter-terrorism lies in at least 3 main factors, namely: (1) their role in preventing and disrupting acts of terrorism; (2) </w:t>
      </w:r>
      <w:r w:rsidR="00B834E7">
        <w:rPr>
          <w:rFonts w:ascii="Book Antiqua" w:hAnsi="Book Antiqua"/>
          <w:sz w:val="24"/>
          <w:szCs w:val="24"/>
        </w:rPr>
        <w:t>their</w:t>
      </w:r>
      <w:r w:rsidRPr="001A1635">
        <w:rPr>
          <w:rFonts w:ascii="Book Antiqua" w:hAnsi="Book Antiqua"/>
          <w:sz w:val="24"/>
          <w:szCs w:val="24"/>
        </w:rPr>
        <w:t xml:space="preserve"> role in post-incident investigations; and (3) </w:t>
      </w:r>
      <w:r w:rsidR="00B834E7">
        <w:rPr>
          <w:rFonts w:ascii="Book Antiqua" w:hAnsi="Book Antiqua"/>
          <w:sz w:val="24"/>
          <w:szCs w:val="24"/>
        </w:rPr>
        <w:t>their</w:t>
      </w:r>
      <w:r w:rsidRPr="001A1635">
        <w:rPr>
          <w:rFonts w:ascii="Book Antiqua" w:hAnsi="Book Antiqua"/>
          <w:sz w:val="24"/>
          <w:szCs w:val="24"/>
        </w:rPr>
        <w:t xml:space="preserve"> contribution to preventive/protective security measures</w:t>
      </w:r>
      <w:r w:rsidR="00C949A5">
        <w:rPr>
          <w:rFonts w:ascii="Book Antiqua" w:hAnsi="Book Antiqua"/>
          <w:sz w:val="24"/>
          <w:szCs w:val="24"/>
        </w:rPr>
        <w:t xml:space="preserve"> </w:t>
      </w:r>
      <w:r w:rsidR="00A81A21">
        <w:rPr>
          <w:rStyle w:val="FootnoteReference"/>
          <w:rFonts w:ascii="Book Antiqua" w:hAnsi="Book Antiqua"/>
          <w:sz w:val="24"/>
          <w:szCs w:val="24"/>
        </w:rPr>
        <w:footnoteReference w:id="12"/>
      </w:r>
      <w:r w:rsidRPr="001A1635">
        <w:rPr>
          <w:rFonts w:ascii="Book Antiqua" w:hAnsi="Book Antiqua"/>
          <w:sz w:val="24"/>
          <w:szCs w:val="24"/>
        </w:rPr>
        <w:t>. Preliminary evidence from intelligence reports authorizes Densus 88 to make arrests of suspected terrorists</w:t>
      </w:r>
      <w:r w:rsidR="00C949A5">
        <w:rPr>
          <w:rFonts w:ascii="Book Antiqua" w:hAnsi="Book Antiqua"/>
          <w:sz w:val="24"/>
          <w:szCs w:val="24"/>
        </w:rPr>
        <w:t xml:space="preserve"> </w:t>
      </w:r>
      <w:r w:rsidR="00A81A21">
        <w:rPr>
          <w:rStyle w:val="FootnoteReference"/>
          <w:rFonts w:ascii="Book Antiqua" w:hAnsi="Book Antiqua"/>
          <w:sz w:val="24"/>
          <w:szCs w:val="24"/>
        </w:rPr>
        <w:footnoteReference w:id="13"/>
      </w:r>
      <w:r w:rsidRPr="001A1635">
        <w:rPr>
          <w:rFonts w:ascii="Book Antiqua" w:hAnsi="Book Antiqua"/>
          <w:sz w:val="24"/>
          <w:szCs w:val="24"/>
        </w:rPr>
        <w:t>. Intelligence information is needed to read and analyze the movements of existing terrorist groups to prevent and minimize the impact of acts of terrorism.</w:t>
      </w:r>
    </w:p>
    <w:p w14:paraId="4B2C3DD6" w14:textId="1B466E37" w:rsidR="001A1635" w:rsidRPr="001A1635" w:rsidRDefault="001A1635" w:rsidP="001A1635">
      <w:pPr>
        <w:ind w:left="-142"/>
        <w:jc w:val="both"/>
        <w:rPr>
          <w:rFonts w:ascii="Book Antiqua" w:hAnsi="Book Antiqua"/>
          <w:sz w:val="24"/>
          <w:szCs w:val="24"/>
        </w:rPr>
      </w:pPr>
      <w:r w:rsidRPr="001A1635">
        <w:rPr>
          <w:rFonts w:ascii="Book Antiqua" w:hAnsi="Book Antiqua"/>
          <w:sz w:val="24"/>
          <w:szCs w:val="24"/>
        </w:rPr>
        <w:t xml:space="preserve">Referring to the importance of the role of intelligence in handling terrorism, </w:t>
      </w:r>
      <w:r w:rsidR="00B834E7">
        <w:rPr>
          <w:rFonts w:ascii="Book Antiqua" w:hAnsi="Book Antiqua"/>
          <w:sz w:val="24"/>
          <w:szCs w:val="24"/>
        </w:rPr>
        <w:t>some</w:t>
      </w:r>
      <w:r w:rsidRPr="001A1635">
        <w:rPr>
          <w:rFonts w:ascii="Book Antiqua" w:hAnsi="Book Antiqua"/>
          <w:sz w:val="24"/>
          <w:szCs w:val="24"/>
        </w:rPr>
        <w:t xml:space="preserve"> certain state institutions also have units/agencies within their institutions, such as BAIS TNI to manage defense intelligence, Baintelkam Polri to carry out police intelligence functions, immigration intelligence</w:t>
      </w:r>
      <w:r w:rsidR="00B834E7">
        <w:rPr>
          <w:rFonts w:ascii="Book Antiqua" w:hAnsi="Book Antiqua"/>
          <w:sz w:val="24"/>
          <w:szCs w:val="24"/>
        </w:rPr>
        <w:t>,</w:t>
      </w:r>
      <w:r w:rsidRPr="001A1635">
        <w:rPr>
          <w:rFonts w:ascii="Book Antiqua" w:hAnsi="Book Antiqua"/>
          <w:sz w:val="24"/>
          <w:szCs w:val="24"/>
        </w:rPr>
        <w:t xml:space="preserve"> and other intelligence organizations that take part in tackling terrorism issues. Meanwhile, to coordinate intelligence functions spread across a number of these state institutions, the State Intelligence Agency was appointed as Intelligence coordinator to prevent overlap or conflict of interest between these intelligence organizations.</w:t>
      </w:r>
      <w:r w:rsidR="00C949A5">
        <w:rPr>
          <w:rFonts w:ascii="Book Antiqua" w:hAnsi="Book Antiqua"/>
          <w:sz w:val="24"/>
          <w:szCs w:val="24"/>
        </w:rPr>
        <w:t xml:space="preserve"> </w:t>
      </w:r>
      <w:r w:rsidR="00C949A5" w:rsidRPr="001A1635">
        <w:rPr>
          <w:rFonts w:ascii="Book Antiqua" w:hAnsi="Book Antiqua"/>
          <w:sz w:val="24"/>
          <w:szCs w:val="24"/>
        </w:rPr>
        <w:t xml:space="preserve"> </w:t>
      </w:r>
      <w:r w:rsidR="00B834E7">
        <w:rPr>
          <w:rFonts w:ascii="Book Antiqua" w:hAnsi="Book Antiqua"/>
          <w:sz w:val="24"/>
          <w:szCs w:val="24"/>
        </w:rPr>
        <w:t>Following</w:t>
      </w:r>
      <w:r w:rsidRPr="001A1635">
        <w:rPr>
          <w:rFonts w:ascii="Book Antiqua" w:hAnsi="Book Antiqua"/>
          <w:sz w:val="24"/>
          <w:szCs w:val="24"/>
        </w:rPr>
        <w:t xml:space="preserve"> Law no. 17 of 2011 and Presidential Regulation no. 67 of 2013. Deputy VII BIN, on April 8 2021 explained that so far BIN together with the ranks of state intelligence administrators have a strong commitment to preventing the development of radicalism and acts of terrorism through early detection and early prevention of potential threats of terrorism</w:t>
      </w:r>
      <w:r w:rsidR="003E0EFD">
        <w:rPr>
          <w:rFonts w:ascii="Book Antiqua" w:hAnsi="Book Antiqua"/>
          <w:sz w:val="24"/>
          <w:szCs w:val="24"/>
        </w:rPr>
        <w:t xml:space="preserve"> </w:t>
      </w:r>
      <w:r w:rsidR="00A81A21">
        <w:rPr>
          <w:rStyle w:val="FootnoteReference"/>
          <w:rFonts w:ascii="Book Antiqua" w:hAnsi="Book Antiqua"/>
          <w:sz w:val="24"/>
          <w:szCs w:val="24"/>
        </w:rPr>
        <w:footnoteReference w:id="14"/>
      </w:r>
      <w:r w:rsidRPr="001A1635">
        <w:rPr>
          <w:rFonts w:ascii="Book Antiqua" w:hAnsi="Book Antiqua"/>
          <w:sz w:val="24"/>
          <w:szCs w:val="24"/>
        </w:rPr>
        <w:t>. In this effort, BIN also synergizes with Densus 88, BNPT, TNI/POLRI, as well as religious leaders, community leaders, mass organizations, OKP, related ministries/agencies, and local governments.</w:t>
      </w:r>
    </w:p>
    <w:p w14:paraId="7B4D28E2" w14:textId="77FF00DB" w:rsidR="001A1635" w:rsidRPr="001A1635" w:rsidRDefault="001A1635" w:rsidP="001A1635">
      <w:pPr>
        <w:ind w:left="-142"/>
        <w:jc w:val="both"/>
        <w:rPr>
          <w:rFonts w:ascii="Book Antiqua" w:hAnsi="Book Antiqua"/>
          <w:sz w:val="24"/>
          <w:szCs w:val="24"/>
        </w:rPr>
      </w:pPr>
      <w:r w:rsidRPr="001A1635">
        <w:rPr>
          <w:rFonts w:ascii="Book Antiqua" w:hAnsi="Book Antiqua"/>
          <w:sz w:val="24"/>
          <w:szCs w:val="24"/>
        </w:rPr>
        <w:t xml:space="preserve">The intelligence synergy guarded by BIN is claimed to show its effectiveness in dismantling networks of radical and terrorist groups by uncovering and securing </w:t>
      </w:r>
      <w:r w:rsidR="00B834E7">
        <w:rPr>
          <w:rFonts w:ascii="Book Antiqua" w:hAnsi="Book Antiqua"/>
          <w:sz w:val="24"/>
          <w:szCs w:val="24"/>
        </w:rPr>
        <w:t>some</w:t>
      </w:r>
      <w:r w:rsidRPr="001A1635">
        <w:rPr>
          <w:rFonts w:ascii="Book Antiqua" w:hAnsi="Book Antiqua"/>
          <w:sz w:val="24"/>
          <w:szCs w:val="24"/>
        </w:rPr>
        <w:t xml:space="preserve"> suspected terrorists in various regions.</w:t>
      </w:r>
      <w:r w:rsidR="003E0EFD">
        <w:rPr>
          <w:rFonts w:ascii="Book Antiqua" w:hAnsi="Book Antiqua"/>
          <w:sz w:val="24"/>
          <w:szCs w:val="24"/>
        </w:rPr>
        <w:t xml:space="preserve"> </w:t>
      </w:r>
      <w:r w:rsidRPr="001A1635">
        <w:rPr>
          <w:rFonts w:ascii="Book Antiqua" w:hAnsi="Book Antiqua"/>
          <w:sz w:val="24"/>
          <w:szCs w:val="24"/>
        </w:rPr>
        <w:t>This is supported by research which states that intelligence has proven to be the most effective weapon against terrorism and nothing can replace the function of intelligence services</w:t>
      </w:r>
      <w:r w:rsidR="005A78CF">
        <w:rPr>
          <w:rFonts w:ascii="Book Antiqua" w:hAnsi="Book Antiqua"/>
          <w:sz w:val="24"/>
          <w:szCs w:val="24"/>
        </w:rPr>
        <w:t xml:space="preserve"> </w:t>
      </w:r>
      <w:r w:rsidR="00A81A21">
        <w:rPr>
          <w:rStyle w:val="FootnoteReference"/>
          <w:rFonts w:ascii="Book Antiqua" w:hAnsi="Book Antiqua"/>
          <w:sz w:val="24"/>
          <w:szCs w:val="24"/>
        </w:rPr>
        <w:footnoteReference w:id="15"/>
      </w:r>
      <w:r w:rsidRPr="001A1635">
        <w:rPr>
          <w:rFonts w:ascii="Book Antiqua" w:hAnsi="Book Antiqua"/>
          <w:sz w:val="24"/>
          <w:szCs w:val="24"/>
        </w:rPr>
        <w:t>. In this regard, this paper will then discuss the role of the State Intelligence Agency (BIN) in carrying out the state intelligence function in preventing terrorism cases in Indonesia.</w:t>
      </w:r>
    </w:p>
    <w:p w14:paraId="5A2666C1" w14:textId="3E62E1BF" w:rsidR="001A1635" w:rsidRPr="001A1635" w:rsidRDefault="001A1635" w:rsidP="001A1635">
      <w:pPr>
        <w:ind w:left="-142"/>
        <w:jc w:val="both"/>
        <w:rPr>
          <w:rFonts w:ascii="Book Antiqua" w:hAnsi="Book Antiqua"/>
          <w:sz w:val="24"/>
          <w:szCs w:val="24"/>
        </w:rPr>
      </w:pPr>
      <w:r w:rsidRPr="001A1635">
        <w:rPr>
          <w:rFonts w:ascii="Book Antiqua" w:hAnsi="Book Antiqua"/>
          <w:sz w:val="24"/>
          <w:szCs w:val="24"/>
        </w:rPr>
        <w:t>Previous academic studies discussing the role of intelligence in countering terrorism have used various points of view and concepts to analyze how the state and its instruments optimize intelligence functions to prevent terrorist attacks from occurring.</w:t>
      </w:r>
      <w:r w:rsidR="005A78CF">
        <w:rPr>
          <w:rFonts w:ascii="Book Antiqua" w:hAnsi="Book Antiqua"/>
          <w:sz w:val="24"/>
          <w:szCs w:val="24"/>
        </w:rPr>
        <w:t xml:space="preserve"> </w:t>
      </w:r>
      <w:r w:rsidRPr="001A1635">
        <w:rPr>
          <w:rFonts w:ascii="Book Antiqua" w:hAnsi="Book Antiqua"/>
          <w:sz w:val="24"/>
          <w:szCs w:val="24"/>
        </w:rPr>
        <w:t>Study</w:t>
      </w:r>
      <w:r w:rsidR="00B834E7">
        <w:rPr>
          <w:rFonts w:ascii="Book Antiqua" w:hAnsi="Book Antiqua"/>
          <w:sz w:val="24"/>
          <w:szCs w:val="24"/>
        </w:rPr>
        <w:t>ing</w:t>
      </w:r>
      <w:r w:rsidR="005A78CF">
        <w:rPr>
          <w:rFonts w:ascii="Book Antiqua" w:hAnsi="Book Antiqua"/>
          <w:sz w:val="24"/>
          <w:szCs w:val="24"/>
        </w:rPr>
        <w:t xml:space="preserve"> </w:t>
      </w:r>
      <w:r w:rsidRPr="001A1635">
        <w:rPr>
          <w:rFonts w:ascii="Book Antiqua" w:hAnsi="Book Antiqua"/>
          <w:sz w:val="24"/>
          <w:szCs w:val="24"/>
        </w:rPr>
        <w:t xml:space="preserve">public </w:t>
      </w:r>
      <w:r w:rsidR="005A78CF" w:rsidRPr="001A1635">
        <w:rPr>
          <w:rFonts w:ascii="Book Antiqua" w:hAnsi="Book Antiqua"/>
          <w:sz w:val="24"/>
          <w:szCs w:val="24"/>
        </w:rPr>
        <w:t>policy is</w:t>
      </w:r>
      <w:r w:rsidRPr="001A1635">
        <w:rPr>
          <w:rFonts w:ascii="Book Antiqua" w:hAnsi="Book Antiqua"/>
          <w:sz w:val="24"/>
          <w:szCs w:val="24"/>
        </w:rPr>
        <w:t xml:space="preserve"> one of the most widely used </w:t>
      </w:r>
      <w:r w:rsidR="005A78CF" w:rsidRPr="001A1635">
        <w:rPr>
          <w:rFonts w:ascii="Book Antiqua" w:hAnsi="Book Antiqua"/>
          <w:sz w:val="24"/>
          <w:szCs w:val="24"/>
        </w:rPr>
        <w:t>approaches see</w:t>
      </w:r>
      <w:r w:rsidRPr="001A1635">
        <w:rPr>
          <w:rFonts w:ascii="Book Antiqua" w:hAnsi="Book Antiqua"/>
          <w:sz w:val="24"/>
          <w:szCs w:val="24"/>
        </w:rPr>
        <w:t xml:space="preserve"> the role of intelligence in preventing terrorism. By using theories such as the concept of coordination problems, Communication and Cooperation, Network effectiveness, Organizational trust, Network leadership, Common goals, and Counter Terrorism Complexity</w:t>
      </w:r>
      <w:r w:rsidR="00436524">
        <w:rPr>
          <w:rFonts w:ascii="Book Antiqua" w:hAnsi="Book Antiqua"/>
        </w:rPr>
        <w:t xml:space="preserve">. </w:t>
      </w:r>
      <w:r w:rsidRPr="001A1635">
        <w:rPr>
          <w:rFonts w:ascii="Book Antiqua" w:hAnsi="Book Antiqua"/>
          <w:sz w:val="24"/>
          <w:szCs w:val="24"/>
        </w:rPr>
        <w:t>Previous reviewers agreed that cooperation between intelligence agencies, security forces</w:t>
      </w:r>
      <w:r w:rsidR="00B834E7">
        <w:rPr>
          <w:rFonts w:ascii="Book Antiqua" w:hAnsi="Book Antiqua"/>
          <w:sz w:val="24"/>
          <w:szCs w:val="24"/>
        </w:rPr>
        <w:t>,</w:t>
      </w:r>
      <w:r w:rsidRPr="001A1635">
        <w:rPr>
          <w:rFonts w:ascii="Book Antiqua" w:hAnsi="Book Antiqua"/>
          <w:sz w:val="24"/>
          <w:szCs w:val="24"/>
        </w:rPr>
        <w:t xml:space="preserve"> and all counter-terrorism stakeholders in a country plays an important role in overcoming the problem of terrorism in a country</w:t>
      </w:r>
      <w:r w:rsidR="00A71954">
        <w:rPr>
          <w:rFonts w:ascii="Book Antiqua" w:hAnsi="Book Antiqua"/>
          <w:sz w:val="24"/>
          <w:szCs w:val="24"/>
        </w:rPr>
        <w:t xml:space="preserve"> </w:t>
      </w:r>
      <w:r w:rsidR="00A81A21">
        <w:rPr>
          <w:rStyle w:val="FootnoteReference"/>
          <w:rFonts w:ascii="Book Antiqua" w:hAnsi="Book Antiqua"/>
          <w:sz w:val="24"/>
          <w:szCs w:val="24"/>
        </w:rPr>
        <w:footnoteReference w:id="16"/>
      </w:r>
      <w:r w:rsidRPr="001A1635">
        <w:rPr>
          <w:rFonts w:ascii="Book Antiqua" w:hAnsi="Book Antiqua"/>
          <w:sz w:val="24"/>
          <w:szCs w:val="24"/>
        </w:rPr>
        <w:t>. To ensure that the inter-agency coordination network runs smoothly and effectively, mutual trust between organizations is needed, and the harmonization/uniformity of goals between institutions is needed. by using the concept of Intelligence Liaison</w:t>
      </w:r>
      <w:r w:rsidR="00436524">
        <w:rPr>
          <w:rFonts w:ascii="Book Antiqua" w:hAnsi="Book Antiqua"/>
        </w:rPr>
        <w:t xml:space="preserve"> </w:t>
      </w:r>
      <w:r w:rsidRPr="001A1635">
        <w:rPr>
          <w:rFonts w:ascii="Book Antiqua" w:hAnsi="Book Antiqua"/>
          <w:sz w:val="24"/>
          <w:szCs w:val="24"/>
        </w:rPr>
        <w:t>argues that of the many institutions that have counter-terrorism responsibilities, the coordination performance of intelligence agencies is crucial in determining the success of counter-terrorism in a country. However, the coordination of the intelligence community often encounters intelligence failure</w:t>
      </w:r>
      <w:r w:rsidR="00436524">
        <w:rPr>
          <w:rFonts w:ascii="Book Antiqua" w:hAnsi="Book Antiqua"/>
        </w:rPr>
        <w:t xml:space="preserve"> </w:t>
      </w:r>
      <w:r w:rsidRPr="001A1635">
        <w:rPr>
          <w:rFonts w:ascii="Book Antiqua" w:hAnsi="Book Antiqua"/>
          <w:sz w:val="24"/>
          <w:szCs w:val="24"/>
        </w:rPr>
        <w:t>caused by sectoral ego, mutual suspicion and the desire to compete between counter-terrorism agencies in a country</w:t>
      </w:r>
      <w:r w:rsidR="00436524">
        <w:rPr>
          <w:rFonts w:ascii="Book Antiqua" w:hAnsi="Book Antiqua"/>
          <w:sz w:val="24"/>
          <w:szCs w:val="24"/>
        </w:rPr>
        <w:t xml:space="preserve"> </w:t>
      </w:r>
      <w:r w:rsidR="00A81A21">
        <w:rPr>
          <w:rStyle w:val="FootnoteReference"/>
          <w:rFonts w:ascii="Book Antiqua" w:hAnsi="Book Antiqua"/>
          <w:sz w:val="24"/>
          <w:szCs w:val="24"/>
        </w:rPr>
        <w:footnoteReference w:id="17"/>
      </w:r>
      <w:r w:rsidRPr="001A1635">
        <w:rPr>
          <w:rFonts w:ascii="Book Antiqua" w:hAnsi="Book Antiqua"/>
          <w:sz w:val="24"/>
          <w:szCs w:val="24"/>
        </w:rPr>
        <w:t>.</w:t>
      </w:r>
    </w:p>
    <w:p w14:paraId="55338967" w14:textId="17F40513" w:rsidR="00436524" w:rsidRDefault="001A1635" w:rsidP="00436524">
      <w:pPr>
        <w:ind w:left="-142"/>
        <w:jc w:val="both"/>
        <w:rPr>
          <w:rFonts w:ascii="Book Antiqua" w:hAnsi="Book Antiqua"/>
          <w:sz w:val="24"/>
          <w:szCs w:val="24"/>
        </w:rPr>
      </w:pPr>
      <w:r w:rsidRPr="001A1635">
        <w:rPr>
          <w:rFonts w:ascii="Book Antiqua" w:hAnsi="Book Antiqua"/>
          <w:sz w:val="24"/>
          <w:szCs w:val="24"/>
        </w:rPr>
        <w:t>Analysis of previous studies using the Inter-Agency Coordination approach produced at least two main arguments. First, cooperation between intelligence agencies and counter-terrorism policy makers in a country plays an important role in tackling the problem of terrorism in a country. In particular, coordination and cooperation in the exchange of information among the intelligence community is one of the crucial elements to ensure the success of a counter-terrorism program in a country. Second, cooperation and coordination between state institutions in tackling terrorism are often hindered by sectoral egos, mutua</w:t>
      </w:r>
      <w:r w:rsidR="00436524">
        <w:rPr>
          <w:rFonts w:ascii="Book Antiqua" w:hAnsi="Book Antiqua"/>
          <w:sz w:val="24"/>
          <w:szCs w:val="24"/>
        </w:rPr>
        <w:t xml:space="preserve">l </w:t>
      </w:r>
      <w:r w:rsidRPr="001A1635">
        <w:rPr>
          <w:rFonts w:ascii="Book Antiqua" w:hAnsi="Book Antiqua"/>
          <w:sz w:val="24"/>
          <w:szCs w:val="24"/>
        </w:rPr>
        <w:t xml:space="preserve">suspicion and the desire to compete among counter-terrorism agencies in a country. Therefore, it is necessary to increase the coordination and consolidation of each institution that has an intelligence function. </w:t>
      </w:r>
    </w:p>
    <w:p w14:paraId="675DD154" w14:textId="0F8F11E3" w:rsidR="001A1635" w:rsidRPr="001A1635" w:rsidRDefault="001A1635" w:rsidP="0056409D">
      <w:pPr>
        <w:spacing w:after="120"/>
        <w:ind w:left="-144"/>
        <w:jc w:val="both"/>
        <w:rPr>
          <w:rFonts w:ascii="Book Antiqua" w:hAnsi="Book Antiqua"/>
          <w:sz w:val="24"/>
          <w:szCs w:val="24"/>
        </w:rPr>
      </w:pPr>
      <w:r w:rsidRPr="001A1635">
        <w:rPr>
          <w:rFonts w:ascii="Book Antiqua" w:hAnsi="Book Antiqua"/>
          <w:sz w:val="24"/>
          <w:szCs w:val="24"/>
        </w:rPr>
        <w:t>Besides that,</w:t>
      </w:r>
      <w:bookmarkStart w:id="0" w:name="_Hlk72327895"/>
      <w:bookmarkEnd w:id="0"/>
      <w:r w:rsidR="00436524">
        <w:rPr>
          <w:rFonts w:ascii="Book Antiqua" w:hAnsi="Book Antiqua"/>
          <w:sz w:val="24"/>
          <w:szCs w:val="24"/>
        </w:rPr>
        <w:t xml:space="preserve"> t</w:t>
      </w:r>
      <w:r w:rsidRPr="001A1635">
        <w:rPr>
          <w:rFonts w:ascii="Book Antiqua" w:hAnsi="Book Antiqua"/>
          <w:sz w:val="24"/>
          <w:szCs w:val="24"/>
        </w:rPr>
        <w:t>he paradigm that is also dominantly used to dissect the issue of tackling the problem of terrorism is the paradigm of the role and function of intelligence. The theories used in the role and function paradigm of intelligence include the concept of Intelligence led policing which discusses the significance and effectiveness of intelligence-based law enforcement methods</w:t>
      </w:r>
      <w:r w:rsidR="000D6D27">
        <w:rPr>
          <w:rFonts w:ascii="Book Antiqua" w:hAnsi="Book Antiqua"/>
          <w:sz w:val="24"/>
          <w:szCs w:val="24"/>
        </w:rPr>
        <w:t xml:space="preserve"> </w:t>
      </w:r>
      <w:r w:rsidR="00A81A21">
        <w:rPr>
          <w:rStyle w:val="FootnoteReference"/>
          <w:rFonts w:ascii="Book Antiqua" w:hAnsi="Book Antiqua"/>
          <w:sz w:val="24"/>
          <w:szCs w:val="24"/>
        </w:rPr>
        <w:footnoteReference w:id="18"/>
      </w:r>
      <w:r w:rsidR="000D6D27">
        <w:rPr>
          <w:rFonts w:ascii="Book Antiqua" w:hAnsi="Book Antiqua"/>
          <w:sz w:val="24"/>
          <w:szCs w:val="24"/>
        </w:rPr>
        <w:t xml:space="preserve">. </w:t>
      </w:r>
      <w:r w:rsidR="004D76D3">
        <w:rPr>
          <w:rFonts w:ascii="Book Antiqua" w:hAnsi="Book Antiqua"/>
          <w:sz w:val="24"/>
          <w:szCs w:val="24"/>
        </w:rPr>
        <w:t>T</w:t>
      </w:r>
      <w:r w:rsidRPr="001A1635">
        <w:rPr>
          <w:rFonts w:ascii="Book Antiqua" w:hAnsi="Book Antiqua"/>
          <w:sz w:val="24"/>
          <w:szCs w:val="24"/>
        </w:rPr>
        <w:t>he theory of mass violencewhich discusses the correlation between weak intelligence capacity in counter-terrorism with the frequency of violence against terrorism detainees in prisons as well as cases of wrongful executions and intelligence theory and information technology</w:t>
      </w:r>
      <w:r w:rsidR="004D76D3">
        <w:rPr>
          <w:rFonts w:ascii="Book Antiqua" w:hAnsi="Book Antiqua"/>
        </w:rPr>
        <w:t xml:space="preserve"> </w:t>
      </w:r>
      <w:r w:rsidRPr="001A1635">
        <w:rPr>
          <w:rFonts w:ascii="Book Antiqua" w:hAnsi="Book Antiqua"/>
          <w:sz w:val="24"/>
          <w:szCs w:val="24"/>
        </w:rPr>
        <w:t>who argue that there is a negative perception regarding the role of intelligence in counter-terrorism in Indonesia which is often identified with intelligence failure. In addition, by using the concept of terrorism in international law and intelligence</w:t>
      </w:r>
      <w:r w:rsidR="00A81A21">
        <w:rPr>
          <w:rStyle w:val="FootnoteReference"/>
          <w:rFonts w:ascii="Book Antiqua" w:hAnsi="Book Antiqua"/>
          <w:sz w:val="24"/>
          <w:szCs w:val="24"/>
        </w:rPr>
        <w:footnoteReference w:id="19"/>
      </w:r>
      <w:r w:rsidR="004D76D3" w:rsidRPr="001A1635">
        <w:rPr>
          <w:rFonts w:ascii="Book Antiqua" w:hAnsi="Book Antiqua"/>
          <w:sz w:val="24"/>
          <w:szCs w:val="24"/>
        </w:rPr>
        <w:t>.</w:t>
      </w:r>
      <w:r w:rsidR="004D76D3">
        <w:rPr>
          <w:rFonts w:ascii="Book Antiqua" w:hAnsi="Book Antiqua"/>
        </w:rPr>
        <w:t xml:space="preserve"> </w:t>
      </w:r>
      <w:r w:rsidRPr="001A1635">
        <w:rPr>
          <w:rFonts w:ascii="Book Antiqua" w:hAnsi="Book Antiqua"/>
          <w:sz w:val="24"/>
          <w:szCs w:val="24"/>
        </w:rPr>
        <w:t>Bernardi</w:t>
      </w:r>
      <w:r w:rsidR="004D76D3">
        <w:rPr>
          <w:rFonts w:ascii="Book Antiqua" w:hAnsi="Book Antiqua"/>
        </w:rPr>
        <w:t xml:space="preserve"> </w:t>
      </w:r>
      <w:r w:rsidRPr="001A1635">
        <w:rPr>
          <w:rFonts w:ascii="Book Antiqua" w:hAnsi="Book Antiqua"/>
          <w:sz w:val="24"/>
          <w:szCs w:val="24"/>
        </w:rPr>
        <w:t>argues that terrorism is a crime and an extraordinary emergency so that to a certain extent, it gives legitimacy for the state to limit the rights of the perpetrators of terror</w:t>
      </w:r>
      <w:r w:rsidR="004D76D3">
        <w:rPr>
          <w:rFonts w:ascii="Book Antiqua" w:hAnsi="Book Antiqua"/>
          <w:sz w:val="24"/>
          <w:szCs w:val="24"/>
        </w:rPr>
        <w:t xml:space="preserve"> </w:t>
      </w:r>
      <w:r w:rsidR="00A81A21">
        <w:rPr>
          <w:rStyle w:val="FootnoteReference"/>
          <w:rFonts w:ascii="Book Antiqua" w:hAnsi="Book Antiqua"/>
          <w:sz w:val="24"/>
          <w:szCs w:val="24"/>
        </w:rPr>
        <w:footnoteReference w:id="20"/>
      </w:r>
      <w:r w:rsidR="004D76D3">
        <w:rPr>
          <w:rFonts w:ascii="Book Antiqua" w:hAnsi="Book Antiqua"/>
          <w:sz w:val="24"/>
          <w:szCs w:val="24"/>
        </w:rPr>
        <w:t>.</w:t>
      </w:r>
    </w:p>
    <w:p w14:paraId="1534763C" w14:textId="7EADDE58" w:rsidR="001A1635" w:rsidRPr="001A1635" w:rsidRDefault="001A1635" w:rsidP="0052387C">
      <w:pPr>
        <w:spacing w:after="120"/>
        <w:ind w:left="-144"/>
        <w:jc w:val="both"/>
        <w:rPr>
          <w:rFonts w:ascii="Book Antiqua" w:hAnsi="Book Antiqua"/>
          <w:sz w:val="24"/>
          <w:szCs w:val="24"/>
        </w:rPr>
      </w:pPr>
      <w:r w:rsidRPr="001A1635">
        <w:rPr>
          <w:rFonts w:ascii="Book Antiqua" w:hAnsi="Book Antiqua"/>
          <w:sz w:val="24"/>
          <w:szCs w:val="24"/>
        </w:rPr>
        <w:t>Several other academic studies using the viewpoint of the role and function of intelligence discuss the importance of enforcing national and international law and intelligence methods as a comprehensive means of dealing with terrorism.</w:t>
      </w:r>
      <w:r w:rsidR="0052387C">
        <w:rPr>
          <w:rFonts w:ascii="Book Antiqua" w:hAnsi="Book Antiqua"/>
        </w:rPr>
        <w:t xml:space="preserve"> </w:t>
      </w:r>
      <w:r w:rsidR="0052387C">
        <w:rPr>
          <w:rFonts w:ascii="Book Antiqua" w:hAnsi="Book Antiqua"/>
          <w:sz w:val="24"/>
          <w:szCs w:val="24"/>
        </w:rPr>
        <w:t>T</w:t>
      </w:r>
      <w:r w:rsidRPr="001A1635">
        <w:rPr>
          <w:rFonts w:ascii="Book Antiqua" w:hAnsi="Book Antiqua"/>
          <w:sz w:val="24"/>
          <w:szCs w:val="24"/>
        </w:rPr>
        <w:t>he need for more detailed and comprehensive provisions on wiretapping by state intelligence</w:t>
      </w:r>
      <w:r w:rsidR="0052387C">
        <w:rPr>
          <w:rFonts w:ascii="Book Antiqua" w:hAnsi="Book Antiqua"/>
        </w:rPr>
        <w:t xml:space="preserve"> </w:t>
      </w:r>
      <w:r w:rsidRPr="001A1635">
        <w:rPr>
          <w:rFonts w:ascii="Book Antiqua" w:hAnsi="Book Antiqua"/>
          <w:sz w:val="24"/>
          <w:szCs w:val="24"/>
        </w:rPr>
        <w:t>as well as the important role of intelligence agencies to maximize strategy, tactics; intelligence urgency in countering terrorism to identify terrorist networks, create data bases, measure risks, carry out clandestine counterattacks, assist propaganda efforts, disrupt member solidarity</w:t>
      </w:r>
      <w:r w:rsidR="0056409D">
        <w:rPr>
          <w:rFonts w:ascii="Book Antiqua" w:hAnsi="Book Antiqua"/>
          <w:sz w:val="24"/>
          <w:szCs w:val="24"/>
        </w:rPr>
        <w:t xml:space="preserve"> </w:t>
      </w:r>
      <w:r w:rsidRPr="001A1635">
        <w:rPr>
          <w:rFonts w:ascii="Book Antiqua" w:hAnsi="Book Antiqua"/>
          <w:sz w:val="24"/>
          <w:szCs w:val="24"/>
        </w:rPr>
        <w:t>terrorist groups and selectively share information with their partners;</w:t>
      </w:r>
      <w:r w:rsidR="0052387C">
        <w:rPr>
          <w:rFonts w:ascii="Book Antiqua" w:hAnsi="Book Antiqua"/>
          <w:sz w:val="24"/>
          <w:szCs w:val="24"/>
        </w:rPr>
        <w:t xml:space="preserve"> </w:t>
      </w:r>
      <w:r w:rsidRPr="001A1635">
        <w:rPr>
          <w:rFonts w:ascii="Book Antiqua" w:hAnsi="Book Antiqua"/>
          <w:sz w:val="24"/>
          <w:szCs w:val="24"/>
        </w:rPr>
        <w:t>and the need for intelligence applications in the cycle of collecting information in tackling terrorism problems</w:t>
      </w:r>
      <w:r w:rsidR="0052387C">
        <w:rPr>
          <w:rFonts w:ascii="Book Antiqua" w:hAnsi="Book Antiqua"/>
          <w:sz w:val="24"/>
          <w:szCs w:val="24"/>
        </w:rPr>
        <w:t xml:space="preserve"> </w:t>
      </w:r>
      <w:r w:rsidR="00A81A21">
        <w:rPr>
          <w:rStyle w:val="FootnoteReference"/>
          <w:rFonts w:ascii="Book Antiqua" w:hAnsi="Book Antiqua"/>
          <w:sz w:val="24"/>
          <w:szCs w:val="24"/>
        </w:rPr>
        <w:footnoteReference w:id="21"/>
      </w:r>
      <w:r w:rsidRPr="001A1635">
        <w:rPr>
          <w:rFonts w:ascii="Book Antiqua" w:hAnsi="Book Antiqua"/>
          <w:sz w:val="24"/>
          <w:szCs w:val="24"/>
        </w:rPr>
        <w:t>.</w:t>
      </w:r>
    </w:p>
    <w:p w14:paraId="18A892CC" w14:textId="7BC1A1BB" w:rsidR="001A1635" w:rsidRPr="001A1635" w:rsidRDefault="001A1635" w:rsidP="001A1635">
      <w:pPr>
        <w:ind w:left="-142"/>
        <w:jc w:val="both"/>
        <w:rPr>
          <w:rFonts w:ascii="Book Antiqua" w:hAnsi="Book Antiqua"/>
          <w:sz w:val="24"/>
          <w:szCs w:val="24"/>
        </w:rPr>
      </w:pPr>
      <w:r w:rsidRPr="001A1635">
        <w:rPr>
          <w:rFonts w:ascii="Book Antiqua" w:hAnsi="Book Antiqua"/>
          <w:sz w:val="24"/>
          <w:szCs w:val="24"/>
        </w:rPr>
        <w:t>From the previous studies above,</w:t>
      </w:r>
      <w:r w:rsidR="0056409D">
        <w:rPr>
          <w:rFonts w:ascii="Book Antiqua" w:hAnsi="Book Antiqua"/>
          <w:sz w:val="24"/>
          <w:szCs w:val="24"/>
        </w:rPr>
        <w:t xml:space="preserve"> </w:t>
      </w:r>
      <w:r w:rsidRPr="001A1635">
        <w:rPr>
          <w:rFonts w:ascii="Book Antiqua" w:hAnsi="Book Antiqua"/>
          <w:sz w:val="24"/>
          <w:szCs w:val="24"/>
        </w:rPr>
        <w:t>the author argues tha</w:t>
      </w:r>
      <w:r w:rsidR="0052387C">
        <w:rPr>
          <w:rFonts w:ascii="Book Antiqua" w:hAnsi="Book Antiqua"/>
          <w:sz w:val="24"/>
          <w:szCs w:val="24"/>
        </w:rPr>
        <w:t>t. T</w:t>
      </w:r>
      <w:r w:rsidRPr="001A1635">
        <w:rPr>
          <w:rFonts w:ascii="Book Antiqua" w:hAnsi="Book Antiqua"/>
          <w:sz w:val="24"/>
          <w:szCs w:val="24"/>
        </w:rPr>
        <w:t>he effectiveness of the function of intelligence agencies in dealing with terrorism is largely determined by how each intelligence mandate bearer to counter terrorism can collaborate and synergize with each other in order to harmonize each sectoral mandate in order to produce a parallel, simultaneous and effective counter-terrorism policy. The harmonization in question is by synchronizing the mandates for deradicalization, early detection, prosecution and prevention, each of which is mandated by different state institutions. In this collaboration process, the roles and functions of intelligence agencies then become very crucial to ensure that inter-agency coordination in countering terrorism is based on valid and factual information, based on intelligence findings in the field, so that an accurate inter-agency collaboration process can be produced. The exchange of intelligence information is then explained as one of the indicators that can explain the running of an effective collaboration process among these policy stakeholders.</w:t>
      </w:r>
    </w:p>
    <w:p w14:paraId="6C89B5A8" w14:textId="77777777" w:rsidR="001A1635" w:rsidRDefault="001A1635" w:rsidP="00882EA9">
      <w:pPr>
        <w:ind w:left="-142"/>
        <w:jc w:val="both"/>
        <w:rPr>
          <w:rFonts w:ascii="Book Antiqua" w:hAnsi="Book Antiqua"/>
          <w:sz w:val="24"/>
          <w:szCs w:val="24"/>
        </w:rPr>
      </w:pPr>
    </w:p>
    <w:p w14:paraId="067135C1" w14:textId="77777777" w:rsidR="006D1334" w:rsidRPr="00B56D4F" w:rsidRDefault="006D1334" w:rsidP="00882EA9">
      <w:pPr>
        <w:ind w:left="-142"/>
        <w:jc w:val="both"/>
        <w:rPr>
          <w:rFonts w:ascii="Book Antiqua" w:hAnsi="Book Antiqua"/>
          <w:b/>
          <w:bCs/>
          <w:sz w:val="24"/>
          <w:szCs w:val="24"/>
          <w:lang w:val="id-ID"/>
        </w:rPr>
      </w:pPr>
    </w:p>
    <w:p w14:paraId="6638B578" w14:textId="4B0317ED" w:rsidR="0077318C" w:rsidRPr="00B56D4F" w:rsidRDefault="00882EA9" w:rsidP="00882EA9">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2. </w:t>
      </w:r>
      <w:r w:rsidR="006D1334" w:rsidRPr="00B56D4F">
        <w:rPr>
          <w:rFonts w:ascii="Book Antiqua" w:hAnsi="Book Antiqua"/>
          <w:b/>
          <w:bCs/>
          <w:sz w:val="24"/>
          <w:szCs w:val="24"/>
          <w:lang w:val="id-ID"/>
        </w:rPr>
        <w:t>Research Method</w:t>
      </w:r>
    </w:p>
    <w:p w14:paraId="16D8AD4D" w14:textId="6F37CE9A" w:rsidR="00000201" w:rsidRPr="00000201" w:rsidRDefault="00000201" w:rsidP="00000201">
      <w:pPr>
        <w:spacing w:after="240"/>
        <w:ind w:left="-142"/>
        <w:jc w:val="both"/>
        <w:rPr>
          <w:rFonts w:ascii="Book Antiqua" w:hAnsi="Book Antiqua"/>
          <w:sz w:val="24"/>
          <w:szCs w:val="24"/>
        </w:rPr>
      </w:pPr>
      <w:r w:rsidRPr="00000201">
        <w:rPr>
          <w:rFonts w:ascii="Book Antiqua" w:hAnsi="Book Antiqua"/>
          <w:sz w:val="24"/>
          <w:szCs w:val="24"/>
        </w:rPr>
        <w:t>To answer research questions, this study uses a case study research method. Case studies are empirical investigations that investigate contemporary phenomena in real-life contexts, especially when the boundaries between phenomenon and context are not clear</w:t>
      </w:r>
      <w:r w:rsidR="00801B68">
        <w:rPr>
          <w:rFonts w:ascii="Book Antiqua" w:hAnsi="Book Antiqua"/>
          <w:sz w:val="24"/>
          <w:szCs w:val="24"/>
        </w:rPr>
        <w:t xml:space="preserve"> </w:t>
      </w:r>
      <w:r w:rsidR="00A81A21">
        <w:rPr>
          <w:rStyle w:val="FootnoteReference"/>
          <w:rFonts w:ascii="Book Antiqua" w:hAnsi="Book Antiqua"/>
          <w:sz w:val="24"/>
          <w:szCs w:val="24"/>
        </w:rPr>
        <w:footnoteReference w:id="22"/>
      </w:r>
      <w:r w:rsidRPr="00000201">
        <w:rPr>
          <w:rFonts w:ascii="Book Antiqua" w:hAnsi="Book Antiqua"/>
          <w:sz w:val="24"/>
          <w:szCs w:val="24"/>
        </w:rPr>
        <w:t>. The features in the Case Study method can enable researchers to answer questions about how BIN carries out its investigative, security and mobilization functions to identify and prevent terrorist attacks. This research will conduct case studies on several acts of terrorism that occurred in Indonesia. Deep understanding</w:t>
      </w:r>
      <w:r w:rsidR="00B834E7">
        <w:rPr>
          <w:rFonts w:ascii="Book Antiqua" w:hAnsi="Book Antiqua"/>
          <w:sz w:val="24"/>
          <w:szCs w:val="24"/>
        </w:rPr>
        <w:t>, in this case,</w:t>
      </w:r>
      <w:r w:rsidRPr="00000201">
        <w:rPr>
          <w:rFonts w:ascii="Book Antiqua" w:hAnsi="Book Antiqua"/>
          <w:sz w:val="24"/>
          <w:szCs w:val="24"/>
        </w:rPr>
        <w:t xml:space="preserve"> </w:t>
      </w:r>
      <w:r w:rsidR="00B834E7">
        <w:rPr>
          <w:rFonts w:ascii="Book Antiqua" w:hAnsi="Book Antiqua"/>
          <w:sz w:val="24"/>
          <w:szCs w:val="24"/>
        </w:rPr>
        <w:t xml:space="preserve">the </w:t>
      </w:r>
      <w:r w:rsidRPr="00000201">
        <w:rPr>
          <w:rFonts w:ascii="Book Antiqua" w:hAnsi="Book Antiqua"/>
          <w:sz w:val="24"/>
          <w:szCs w:val="24"/>
        </w:rPr>
        <w:t>study will be carried out by triangulation, through (1) direct observation by researchers, (2) investigations by asking for explanations and interpretations of case participants on the data collected, and (3) analysis of written documents.</w:t>
      </w:r>
    </w:p>
    <w:p w14:paraId="5EFFD1F6" w14:textId="77777777" w:rsidR="00882EA9" w:rsidRPr="00B56D4F" w:rsidRDefault="00882EA9" w:rsidP="00882EA9">
      <w:pPr>
        <w:rPr>
          <w:rFonts w:ascii="Book Antiqua" w:hAnsi="Book Antiqua"/>
          <w:sz w:val="24"/>
          <w:szCs w:val="24"/>
          <w:lang w:val="id-ID"/>
        </w:rPr>
      </w:pPr>
    </w:p>
    <w:p w14:paraId="1726AC4D" w14:textId="77DA7239" w:rsidR="00093C09" w:rsidRPr="00B56D4F" w:rsidRDefault="00882EA9" w:rsidP="00882EA9">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3. </w:t>
      </w:r>
      <w:r w:rsidR="006D1334" w:rsidRPr="00B56D4F">
        <w:rPr>
          <w:rFonts w:ascii="Book Antiqua" w:hAnsi="Book Antiqua"/>
          <w:b/>
          <w:bCs/>
          <w:sz w:val="24"/>
          <w:szCs w:val="24"/>
          <w:lang w:val="id-ID"/>
        </w:rPr>
        <w:t>Results and Discussion</w:t>
      </w:r>
    </w:p>
    <w:p w14:paraId="0604132F" w14:textId="4AFDD4DE" w:rsidR="00801B68" w:rsidRDefault="00801B68" w:rsidP="00801B68">
      <w:pPr>
        <w:spacing w:after="240"/>
        <w:ind w:left="-142"/>
        <w:jc w:val="both"/>
        <w:rPr>
          <w:rFonts w:ascii="Book Antiqua" w:hAnsi="Book Antiqua"/>
          <w:sz w:val="24"/>
          <w:szCs w:val="24"/>
        </w:rPr>
      </w:pPr>
      <w:r w:rsidRPr="00801B68">
        <w:rPr>
          <w:rFonts w:ascii="Book Antiqua" w:hAnsi="Book Antiqua"/>
          <w:sz w:val="24"/>
          <w:szCs w:val="24"/>
        </w:rPr>
        <w:t>Intelligence agencies have a very important and significant role in handling acts of terrorism in Indonesia. Information from intelligence agencies can provide a comprehensive picture, especially for decision</w:t>
      </w:r>
      <w:r w:rsidR="00B834E7">
        <w:rPr>
          <w:rFonts w:ascii="Book Antiqua" w:hAnsi="Book Antiqua"/>
          <w:sz w:val="24"/>
          <w:szCs w:val="24"/>
        </w:rPr>
        <w:t>-</w:t>
      </w:r>
      <w:r w:rsidRPr="00801B68">
        <w:rPr>
          <w:rFonts w:ascii="Book Antiqua" w:hAnsi="Book Antiqua"/>
          <w:sz w:val="24"/>
          <w:szCs w:val="24"/>
        </w:rPr>
        <w:t>makers regarding the potential and vulnerability of terrorist attacks in a country, including providing early warnings regarding potential terrorist attacks as well as providing ways to prevent them so that steps can be taken. -legal steps to be able to stop the terrorist acts that have been planned. So that terrorism can be dealt with comprehensively, one of the approaches that can be taken is to trace the network and the roots that are the cause of terrorism which is one of the duties of intelligence. Given the many factors that can be the root of terrorism</w:t>
      </w:r>
      <w:r>
        <w:rPr>
          <w:rFonts w:ascii="Book Antiqua" w:hAnsi="Book Antiqua"/>
          <w:sz w:val="24"/>
          <w:szCs w:val="24"/>
        </w:rPr>
        <w:t xml:space="preserve"> </w:t>
      </w:r>
      <w:r w:rsidR="00A81A21">
        <w:rPr>
          <w:rStyle w:val="FootnoteReference"/>
          <w:rFonts w:ascii="Book Antiqua" w:hAnsi="Book Antiqua"/>
          <w:sz w:val="24"/>
          <w:szCs w:val="24"/>
        </w:rPr>
        <w:footnoteReference w:id="23"/>
      </w:r>
      <w:r w:rsidRPr="00801B68">
        <w:rPr>
          <w:rFonts w:ascii="Book Antiqua" w:hAnsi="Book Antiqua"/>
          <w:sz w:val="24"/>
          <w:szCs w:val="24"/>
        </w:rPr>
        <w:t>.</w:t>
      </w:r>
    </w:p>
    <w:p w14:paraId="4018F9EC" w14:textId="77777777" w:rsidR="00801B68" w:rsidRPr="00801B68" w:rsidRDefault="00801B68" w:rsidP="00801B68">
      <w:pPr>
        <w:ind w:left="-144"/>
        <w:jc w:val="both"/>
        <w:rPr>
          <w:rFonts w:ascii="Book Antiqua" w:hAnsi="Book Antiqua"/>
          <w:b/>
          <w:bCs/>
          <w:i/>
          <w:iCs/>
          <w:sz w:val="24"/>
          <w:szCs w:val="24"/>
        </w:rPr>
      </w:pPr>
      <w:r w:rsidRPr="00801B68">
        <w:rPr>
          <w:rFonts w:ascii="Book Antiqua" w:hAnsi="Book Antiqua"/>
          <w:b/>
          <w:bCs/>
          <w:i/>
          <w:iCs/>
          <w:sz w:val="24"/>
          <w:szCs w:val="24"/>
        </w:rPr>
        <w:t>The Role of Intelligence in Handling Terrorism in Indonesia.</w:t>
      </w:r>
    </w:p>
    <w:p w14:paraId="1938B63E" w14:textId="5ABE746B" w:rsidR="00801B68" w:rsidRPr="00801B68" w:rsidRDefault="00801B68" w:rsidP="00801B68">
      <w:pPr>
        <w:spacing w:after="240"/>
        <w:ind w:left="-142"/>
        <w:jc w:val="both"/>
        <w:rPr>
          <w:rFonts w:ascii="Book Antiqua" w:hAnsi="Book Antiqua"/>
          <w:sz w:val="24"/>
          <w:szCs w:val="24"/>
        </w:rPr>
      </w:pPr>
      <w:r w:rsidRPr="00801B68">
        <w:rPr>
          <w:rFonts w:ascii="Book Antiqua" w:hAnsi="Book Antiqua"/>
          <w:sz w:val="24"/>
          <w:szCs w:val="24"/>
        </w:rPr>
        <w:t>The Intelligence Agency was formed by the state, one of which is to conduct detection and provide early warning and prevent potential terrorist attacks that threaten the stability of state security. In Indonesia, this function is contained in Law No. 17 of 2011 concerning State Intelligence. In general, from several cases of terrorism attacks in Indonesia such as the Thamrin Bombing in 2016, the Poso</w:t>
      </w:r>
      <w:r>
        <w:rPr>
          <w:rFonts w:ascii="Book Antiqua" w:hAnsi="Book Antiqua"/>
          <w:sz w:val="24"/>
          <w:szCs w:val="24"/>
        </w:rPr>
        <w:t xml:space="preserve"> region</w:t>
      </w:r>
      <w:r w:rsidRPr="00801B68">
        <w:rPr>
          <w:rFonts w:ascii="Book Antiqua" w:hAnsi="Book Antiqua"/>
          <w:sz w:val="24"/>
          <w:szCs w:val="24"/>
        </w:rPr>
        <w:t xml:space="preserve"> riots in 2003</w:t>
      </w:r>
      <w:r w:rsidR="00B834E7">
        <w:rPr>
          <w:rFonts w:ascii="Book Antiqua" w:hAnsi="Book Antiqua"/>
          <w:sz w:val="24"/>
          <w:szCs w:val="24"/>
        </w:rPr>
        <w:t>,</w:t>
      </w:r>
      <w:r w:rsidRPr="00801B68">
        <w:rPr>
          <w:rFonts w:ascii="Book Antiqua" w:hAnsi="Book Antiqua"/>
          <w:sz w:val="24"/>
          <w:szCs w:val="24"/>
        </w:rPr>
        <w:t xml:space="preserve"> and the Makassar Cathedral Church Bombing in early 2021, the intelligence function for early detection has been carried out by BIN through the pillars of intelligence activity, namely investigation, security</w:t>
      </w:r>
      <w:r w:rsidR="00B834E7">
        <w:rPr>
          <w:rFonts w:ascii="Book Antiqua" w:hAnsi="Book Antiqua"/>
          <w:sz w:val="24"/>
          <w:szCs w:val="24"/>
        </w:rPr>
        <w:t>,</w:t>
      </w:r>
      <w:r w:rsidRPr="00801B68">
        <w:rPr>
          <w:rFonts w:ascii="Book Antiqua" w:hAnsi="Book Antiqua"/>
          <w:sz w:val="24"/>
          <w:szCs w:val="24"/>
        </w:rPr>
        <w:t xml:space="preserve"> and fundraising.</w:t>
      </w:r>
      <w:r>
        <w:rPr>
          <w:rFonts w:ascii="Book Antiqua" w:hAnsi="Book Antiqua"/>
          <w:sz w:val="24"/>
          <w:szCs w:val="24"/>
        </w:rPr>
        <w:t xml:space="preserve"> </w:t>
      </w:r>
      <w:r w:rsidR="00B834E7">
        <w:rPr>
          <w:rFonts w:ascii="Book Antiqua" w:hAnsi="Book Antiqua"/>
          <w:sz w:val="24"/>
          <w:szCs w:val="24"/>
        </w:rPr>
        <w:t>The i</w:t>
      </w:r>
      <w:r w:rsidRPr="00801B68">
        <w:rPr>
          <w:rFonts w:ascii="Book Antiqua" w:hAnsi="Book Antiqua"/>
          <w:sz w:val="24"/>
          <w:szCs w:val="24"/>
        </w:rPr>
        <w:t>nvestigation is an effort, activity, work</w:t>
      </w:r>
      <w:r w:rsidR="00B834E7">
        <w:rPr>
          <w:rFonts w:ascii="Book Antiqua" w:hAnsi="Book Antiqua"/>
          <w:sz w:val="24"/>
          <w:szCs w:val="24"/>
        </w:rPr>
        <w:t>,</w:t>
      </w:r>
      <w:r w:rsidRPr="00801B68">
        <w:rPr>
          <w:rFonts w:ascii="Book Antiqua" w:hAnsi="Book Antiqua"/>
          <w:sz w:val="24"/>
          <w:szCs w:val="24"/>
        </w:rPr>
        <w:t xml:space="preserve"> and action that is carried out in a planned, gradual and sustainable manner in a cycle of the intelligence activity chain to search, explore, track, collect, record, process</w:t>
      </w:r>
      <w:r w:rsidR="00B834E7">
        <w:rPr>
          <w:rFonts w:ascii="Book Antiqua" w:hAnsi="Book Antiqua"/>
          <w:sz w:val="24"/>
          <w:szCs w:val="24"/>
        </w:rPr>
        <w:t>,</w:t>
      </w:r>
      <w:r w:rsidRPr="00801B68">
        <w:rPr>
          <w:rFonts w:ascii="Book Antiqua" w:hAnsi="Book Antiqua"/>
          <w:sz w:val="24"/>
          <w:szCs w:val="24"/>
        </w:rPr>
        <w:t xml:space="preserve"> and analyze data or information material into ready-to-use information. as an intelligence product.</w:t>
      </w:r>
      <w:r>
        <w:rPr>
          <w:rFonts w:ascii="Book Antiqua" w:hAnsi="Book Antiqua"/>
          <w:sz w:val="24"/>
          <w:szCs w:val="24"/>
        </w:rPr>
        <w:t xml:space="preserve"> </w:t>
      </w:r>
      <w:r w:rsidRPr="00801B68">
        <w:rPr>
          <w:rFonts w:ascii="Book Antiqua" w:hAnsi="Book Antiqua"/>
          <w:sz w:val="24"/>
          <w:szCs w:val="24"/>
        </w:rPr>
        <w:t>Investigations carried out by intelligence produce evidence that can be used by law enforcement agencies to prevent acts of terrorism. The evidence is usually then coordinated with other related parties, especially Densus 88 at the National Police Headquarters so that steps can then be taken to arrest the suspected perpetrators of terrorism.</w:t>
      </w:r>
    </w:p>
    <w:p w14:paraId="2FB42464" w14:textId="06DC2A49" w:rsidR="00801B68" w:rsidRPr="00801B68" w:rsidRDefault="00801B68" w:rsidP="00801B68">
      <w:pPr>
        <w:spacing w:after="240"/>
        <w:ind w:left="-142"/>
        <w:jc w:val="both"/>
        <w:rPr>
          <w:rFonts w:ascii="Book Antiqua" w:hAnsi="Book Antiqua"/>
          <w:sz w:val="24"/>
          <w:szCs w:val="24"/>
        </w:rPr>
      </w:pPr>
      <w:r w:rsidRPr="00801B68">
        <w:rPr>
          <w:rFonts w:ascii="Book Antiqua" w:hAnsi="Book Antiqua"/>
          <w:sz w:val="24"/>
          <w:szCs w:val="24"/>
        </w:rPr>
        <w:t>Investigations conducted by Indonesian intelligence are in line with intelligence work standards in the intelligence cycle which consist of: (1) Planning, (2) Collection, (3) Presenting in reports, (4) Analyzing information, and (5) Disseminating intelligence information to other parties</w:t>
      </w:r>
      <w:r>
        <w:rPr>
          <w:rFonts w:ascii="Book Antiqua" w:hAnsi="Book Antiqua"/>
          <w:sz w:val="24"/>
          <w:szCs w:val="24"/>
        </w:rPr>
        <w:t xml:space="preserve"> o</w:t>
      </w:r>
      <w:r w:rsidRPr="00801B68">
        <w:rPr>
          <w:rFonts w:ascii="Book Antiqua" w:hAnsi="Book Antiqua"/>
          <w:sz w:val="24"/>
          <w:szCs w:val="24"/>
        </w:rPr>
        <w:t>ther</w:t>
      </w:r>
      <w:r>
        <w:rPr>
          <w:rFonts w:ascii="Book Antiqua" w:hAnsi="Book Antiqua"/>
          <w:sz w:val="24"/>
          <w:szCs w:val="24"/>
        </w:rPr>
        <w:t xml:space="preserve"> </w:t>
      </w:r>
      <w:r w:rsidR="00A81A21">
        <w:rPr>
          <w:rStyle w:val="FootnoteReference"/>
          <w:rFonts w:ascii="Book Antiqua" w:hAnsi="Book Antiqua"/>
          <w:sz w:val="24"/>
          <w:szCs w:val="24"/>
        </w:rPr>
        <w:footnoteReference w:id="24"/>
      </w:r>
      <w:r w:rsidRPr="00801B68">
        <w:rPr>
          <w:rFonts w:ascii="Book Antiqua" w:hAnsi="Book Antiqua"/>
          <w:sz w:val="24"/>
          <w:szCs w:val="24"/>
        </w:rPr>
        <w:t xml:space="preserve">. The information produced by intelligence is complete, not only reporting which group will </w:t>
      </w:r>
      <w:r w:rsidR="00B834E7">
        <w:rPr>
          <w:rFonts w:ascii="Book Antiqua" w:hAnsi="Book Antiqua"/>
          <w:sz w:val="24"/>
          <w:szCs w:val="24"/>
        </w:rPr>
        <w:t>act</w:t>
      </w:r>
      <w:r w:rsidRPr="00801B68">
        <w:rPr>
          <w:rFonts w:ascii="Book Antiqua" w:hAnsi="Book Antiqua"/>
          <w:sz w:val="24"/>
          <w:szCs w:val="24"/>
        </w:rPr>
        <w:t>, but also where the action will be carried out, how the method will be carried out, when and who will carry out an attack. The investigation function diagram can be seen as shown in</w:t>
      </w:r>
      <w:r w:rsidR="001B1E92">
        <w:rPr>
          <w:rFonts w:ascii="Book Antiqua" w:hAnsi="Book Antiqua"/>
          <w:sz w:val="24"/>
          <w:szCs w:val="24"/>
        </w:rPr>
        <w:t xml:space="preserve"> </w:t>
      </w:r>
      <w:r w:rsidR="001B1E92">
        <w:rPr>
          <w:rFonts w:ascii="Book Antiqua" w:hAnsi="Book Antiqua"/>
          <w:sz w:val="24"/>
          <w:szCs w:val="24"/>
        </w:rPr>
        <w:fldChar w:fldCharType="begin"/>
      </w:r>
      <w:r w:rsidR="001B1E92">
        <w:rPr>
          <w:rFonts w:ascii="Book Antiqua" w:hAnsi="Book Antiqua"/>
          <w:sz w:val="24"/>
          <w:szCs w:val="24"/>
        </w:rPr>
        <w:instrText xml:space="preserve"> REF _Ref124803595 \h </w:instrText>
      </w:r>
      <w:r w:rsidR="001B1E92">
        <w:rPr>
          <w:rFonts w:ascii="Book Antiqua" w:hAnsi="Book Antiqua"/>
          <w:sz w:val="24"/>
          <w:szCs w:val="24"/>
        </w:rPr>
      </w:r>
      <w:r w:rsidR="001B1E92">
        <w:rPr>
          <w:rFonts w:ascii="Book Antiqua" w:hAnsi="Book Antiqua"/>
          <w:sz w:val="24"/>
          <w:szCs w:val="24"/>
        </w:rPr>
        <w:fldChar w:fldCharType="separate"/>
      </w:r>
      <w:r w:rsidR="001B1E92" w:rsidRPr="001B1E92">
        <w:rPr>
          <w:rFonts w:ascii="Book Antiqua" w:hAnsi="Book Antiqua"/>
          <w:sz w:val="24"/>
          <w:szCs w:val="24"/>
        </w:rPr>
        <w:t>Figure 1</w:t>
      </w:r>
      <w:r w:rsidR="001B1E92">
        <w:rPr>
          <w:rFonts w:ascii="Book Antiqua" w:hAnsi="Book Antiqua"/>
          <w:sz w:val="24"/>
          <w:szCs w:val="24"/>
        </w:rPr>
        <w:fldChar w:fldCharType="end"/>
      </w:r>
      <w:r w:rsidRPr="00801B68">
        <w:rPr>
          <w:rFonts w:ascii="Book Antiqua" w:hAnsi="Book Antiqua"/>
          <w:sz w:val="24"/>
          <w:szCs w:val="24"/>
        </w:rPr>
        <w:t>.</w:t>
      </w:r>
    </w:p>
    <w:p w14:paraId="1D5C9CFF" w14:textId="77777777" w:rsidR="001B1E92" w:rsidRDefault="001B1E92" w:rsidP="001B1E92">
      <w:pPr>
        <w:keepNext/>
        <w:spacing w:after="240"/>
        <w:ind w:left="-142"/>
        <w:jc w:val="center"/>
      </w:pPr>
      <w:r>
        <w:rPr>
          <w:rFonts w:ascii="Book Antiqua" w:hAnsi="Book Antiqua"/>
          <w:noProof/>
          <w:sz w:val="24"/>
          <w:szCs w:val="24"/>
          <w:lang w:val="id-ID" w:eastAsia="id-ID"/>
        </w:rPr>
        <w:drawing>
          <wp:inline distT="0" distB="0" distL="0" distR="0" wp14:anchorId="4D6FEC85" wp14:editId="69470A70">
            <wp:extent cx="3398028" cy="14630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9">
                      <a:extLst>
                        <a:ext uri="{28A0092B-C50C-407E-A947-70E740481C1C}">
                          <a14:useLocalDpi xmlns:a14="http://schemas.microsoft.com/office/drawing/2010/main" val="0"/>
                        </a:ext>
                      </a:extLst>
                    </a:blip>
                    <a:srcRect r="59365" b="68896"/>
                    <a:stretch/>
                  </pic:blipFill>
                  <pic:spPr bwMode="auto">
                    <a:xfrm>
                      <a:off x="0" y="0"/>
                      <a:ext cx="3403315" cy="1465316"/>
                    </a:xfrm>
                    <a:prstGeom prst="rect">
                      <a:avLst/>
                    </a:prstGeom>
                    <a:ln>
                      <a:noFill/>
                    </a:ln>
                    <a:extLst>
                      <a:ext uri="{53640926-AAD7-44D8-BBD7-CCE9431645EC}">
                        <a14:shadowObscured xmlns:a14="http://schemas.microsoft.com/office/drawing/2010/main"/>
                      </a:ext>
                    </a:extLst>
                  </pic:spPr>
                </pic:pic>
              </a:graphicData>
            </a:graphic>
          </wp:inline>
        </w:drawing>
      </w:r>
    </w:p>
    <w:p w14:paraId="1EBFD346" w14:textId="6DD87E4C" w:rsidR="00801B68" w:rsidRPr="00801B68" w:rsidRDefault="001B1E92" w:rsidP="001B1E92">
      <w:pPr>
        <w:spacing w:after="240"/>
        <w:ind w:left="-142"/>
        <w:jc w:val="center"/>
        <w:rPr>
          <w:rFonts w:ascii="Book Antiqua" w:hAnsi="Book Antiqua"/>
          <w:sz w:val="24"/>
          <w:szCs w:val="24"/>
        </w:rPr>
      </w:pPr>
      <w:bookmarkStart w:id="1" w:name="_Ref124803595"/>
      <w:r w:rsidRPr="001B1E92">
        <w:rPr>
          <w:rFonts w:ascii="Book Antiqua" w:hAnsi="Book Antiqua"/>
          <w:sz w:val="24"/>
          <w:szCs w:val="24"/>
        </w:rPr>
        <w:t xml:space="preserve">Figure </w:t>
      </w:r>
      <w:r w:rsidRPr="001B1E92">
        <w:rPr>
          <w:rFonts w:ascii="Book Antiqua" w:hAnsi="Book Antiqua"/>
          <w:sz w:val="24"/>
          <w:szCs w:val="24"/>
        </w:rPr>
        <w:fldChar w:fldCharType="begin"/>
      </w:r>
      <w:r w:rsidRPr="001B1E92">
        <w:rPr>
          <w:rFonts w:ascii="Book Antiqua" w:hAnsi="Book Antiqua"/>
          <w:sz w:val="24"/>
          <w:szCs w:val="24"/>
        </w:rPr>
        <w:instrText xml:space="preserve"> SEQ Figure \* ARABIC </w:instrText>
      </w:r>
      <w:r w:rsidRPr="001B1E92">
        <w:rPr>
          <w:rFonts w:ascii="Book Antiqua" w:hAnsi="Book Antiqua"/>
          <w:sz w:val="24"/>
          <w:szCs w:val="24"/>
        </w:rPr>
        <w:fldChar w:fldCharType="separate"/>
      </w:r>
      <w:r w:rsidR="00E70770">
        <w:rPr>
          <w:rFonts w:ascii="Book Antiqua" w:hAnsi="Book Antiqua"/>
          <w:noProof/>
          <w:sz w:val="24"/>
          <w:szCs w:val="24"/>
        </w:rPr>
        <w:t>1</w:t>
      </w:r>
      <w:r w:rsidRPr="001B1E92">
        <w:rPr>
          <w:rFonts w:ascii="Book Antiqua" w:hAnsi="Book Antiqua"/>
          <w:sz w:val="24"/>
          <w:szCs w:val="24"/>
        </w:rPr>
        <w:fldChar w:fldCharType="end"/>
      </w:r>
      <w:bookmarkEnd w:id="1"/>
      <w:r w:rsidRPr="001B1E92">
        <w:rPr>
          <w:rFonts w:ascii="Book Antiqua" w:hAnsi="Book Antiqua"/>
          <w:sz w:val="24"/>
          <w:szCs w:val="24"/>
        </w:rPr>
        <w:t>. Diagram of Investigation Function</w:t>
      </w:r>
    </w:p>
    <w:p w14:paraId="1096C65E" w14:textId="696610DA" w:rsidR="001B1E92" w:rsidRDefault="001B1E92" w:rsidP="001B1E92">
      <w:pPr>
        <w:spacing w:after="240"/>
        <w:ind w:left="-142"/>
        <w:jc w:val="both"/>
        <w:rPr>
          <w:rFonts w:ascii="Book Antiqua" w:hAnsi="Book Antiqua"/>
          <w:sz w:val="24"/>
          <w:szCs w:val="24"/>
        </w:rPr>
      </w:pPr>
      <w:r w:rsidRPr="001B1E92">
        <w:rPr>
          <w:rFonts w:ascii="Book Antiqua" w:hAnsi="Book Antiqua"/>
          <w:sz w:val="24"/>
          <w:szCs w:val="24"/>
        </w:rPr>
        <w:t xml:space="preserve">The next </w:t>
      </w:r>
      <w:r>
        <w:rPr>
          <w:rFonts w:ascii="Book Antiqua" w:hAnsi="Book Antiqua"/>
          <w:sz w:val="24"/>
          <w:szCs w:val="24"/>
        </w:rPr>
        <w:t>point</w:t>
      </w:r>
      <w:r w:rsidRPr="001B1E92">
        <w:rPr>
          <w:rFonts w:ascii="Book Antiqua" w:hAnsi="Book Antiqua"/>
          <w:sz w:val="24"/>
          <w:szCs w:val="24"/>
        </w:rPr>
        <w:t xml:space="preserve"> in intelligence activities is the security function.</w:t>
      </w:r>
      <w:r>
        <w:rPr>
          <w:rFonts w:ascii="Book Antiqua" w:hAnsi="Book Antiqua"/>
          <w:sz w:val="24"/>
          <w:szCs w:val="24"/>
        </w:rPr>
        <w:t xml:space="preserve"> </w:t>
      </w:r>
      <w:r w:rsidRPr="001B1E92">
        <w:rPr>
          <w:rFonts w:ascii="Book Antiqua" w:hAnsi="Book Antiqua"/>
          <w:sz w:val="24"/>
          <w:szCs w:val="24"/>
        </w:rPr>
        <w:t>Security is an effort, activity, work</w:t>
      </w:r>
      <w:r w:rsidR="00B834E7">
        <w:rPr>
          <w:rFonts w:ascii="Book Antiqua" w:hAnsi="Book Antiqua"/>
          <w:sz w:val="24"/>
          <w:szCs w:val="24"/>
        </w:rPr>
        <w:t>,</w:t>
      </w:r>
      <w:r w:rsidRPr="001B1E92">
        <w:rPr>
          <w:rFonts w:ascii="Book Antiqua" w:hAnsi="Book Antiqua"/>
          <w:sz w:val="24"/>
          <w:szCs w:val="24"/>
        </w:rPr>
        <w:t xml:space="preserve"> and action that is carried out in a planned, gradual and sustainable manner in a cycle of the intelligence activity chain to protect, neutralize, clean</w:t>
      </w:r>
      <w:r w:rsidR="00B834E7">
        <w:rPr>
          <w:rFonts w:ascii="Book Antiqua" w:hAnsi="Book Antiqua"/>
          <w:sz w:val="24"/>
          <w:szCs w:val="24"/>
        </w:rPr>
        <w:t>,</w:t>
      </w:r>
      <w:r w:rsidRPr="001B1E92">
        <w:rPr>
          <w:rFonts w:ascii="Book Antiqua" w:hAnsi="Book Antiqua"/>
          <w:sz w:val="24"/>
          <w:szCs w:val="24"/>
        </w:rPr>
        <w:t xml:space="preserve"> and secure the environment and all its contents which include </w:t>
      </w:r>
      <w:r w:rsidR="00DC3F95">
        <w:rPr>
          <w:rFonts w:ascii="Book Antiqua" w:hAnsi="Book Antiqua"/>
          <w:sz w:val="24"/>
          <w:szCs w:val="24"/>
        </w:rPr>
        <w:t>individual</w:t>
      </w:r>
      <w:r w:rsidRPr="001B1E92">
        <w:rPr>
          <w:rFonts w:ascii="Book Antiqua" w:hAnsi="Book Antiqua"/>
          <w:sz w:val="24"/>
          <w:szCs w:val="24"/>
        </w:rPr>
        <w:t>, materials, documentation, information, activities/operations, communication</w:t>
      </w:r>
      <w:r w:rsidR="00B834E7">
        <w:rPr>
          <w:rFonts w:ascii="Book Antiqua" w:hAnsi="Book Antiqua"/>
          <w:sz w:val="24"/>
          <w:szCs w:val="24"/>
        </w:rPr>
        <w:t>,</w:t>
      </w:r>
      <w:r w:rsidRPr="001B1E92">
        <w:rPr>
          <w:rFonts w:ascii="Book Antiqua" w:hAnsi="Book Antiqua"/>
          <w:sz w:val="24"/>
          <w:szCs w:val="24"/>
        </w:rPr>
        <w:t xml:space="preserve"> and the environment to create a safe and controlled condition of any dangerous actions. The security function can be seen in the case </w:t>
      </w:r>
      <w:r w:rsidR="00B834E7">
        <w:rPr>
          <w:rFonts w:ascii="Book Antiqua" w:hAnsi="Book Antiqua"/>
          <w:sz w:val="24"/>
          <w:szCs w:val="24"/>
        </w:rPr>
        <w:t>of</w:t>
      </w:r>
      <w:r w:rsidRPr="001B1E92">
        <w:rPr>
          <w:rFonts w:ascii="Book Antiqua" w:hAnsi="Book Antiqua"/>
          <w:sz w:val="24"/>
          <w:szCs w:val="24"/>
        </w:rPr>
        <w:t xml:space="preserve"> Poso </w:t>
      </w:r>
      <w:r w:rsidR="00DC3F95">
        <w:rPr>
          <w:rFonts w:ascii="Book Antiqua" w:hAnsi="Book Antiqua"/>
          <w:sz w:val="24"/>
          <w:szCs w:val="24"/>
        </w:rPr>
        <w:t xml:space="preserve">region </w:t>
      </w:r>
      <w:r w:rsidRPr="001B1E92">
        <w:rPr>
          <w:rFonts w:ascii="Book Antiqua" w:hAnsi="Book Antiqua"/>
          <w:sz w:val="24"/>
          <w:szCs w:val="24"/>
        </w:rPr>
        <w:t>when</w:t>
      </w:r>
      <w:r w:rsidR="00DC3F95">
        <w:rPr>
          <w:rFonts w:ascii="Book Antiqua" w:hAnsi="Book Antiqua"/>
          <w:sz w:val="24"/>
          <w:szCs w:val="24"/>
        </w:rPr>
        <w:t xml:space="preserve"> </w:t>
      </w:r>
      <w:r w:rsidRPr="001B1E92">
        <w:rPr>
          <w:rFonts w:ascii="Book Antiqua" w:hAnsi="Book Antiqua"/>
          <w:sz w:val="24"/>
          <w:szCs w:val="24"/>
        </w:rPr>
        <w:t>intelligence mobilized civilian groups involved in the conflict in Poso to control the security situation in Poso</w:t>
      </w:r>
      <w:r w:rsidR="00DC3F95">
        <w:rPr>
          <w:rFonts w:ascii="Book Antiqua" w:hAnsi="Book Antiqua"/>
          <w:sz w:val="24"/>
          <w:szCs w:val="24"/>
        </w:rPr>
        <w:t xml:space="preserve"> region</w:t>
      </w:r>
      <w:r w:rsidRPr="001B1E92">
        <w:rPr>
          <w:rFonts w:ascii="Book Antiqua" w:hAnsi="Book Antiqua"/>
          <w:sz w:val="24"/>
          <w:szCs w:val="24"/>
        </w:rPr>
        <w:t>. This security measure was considered successful because it created conditions in Poso</w:t>
      </w:r>
      <w:r w:rsidR="00DC3F95">
        <w:rPr>
          <w:rFonts w:ascii="Book Antiqua" w:hAnsi="Book Antiqua"/>
          <w:sz w:val="24"/>
          <w:szCs w:val="24"/>
        </w:rPr>
        <w:t xml:space="preserve"> region</w:t>
      </w:r>
      <w:r w:rsidRPr="001B1E92">
        <w:rPr>
          <w:rFonts w:ascii="Book Antiqua" w:hAnsi="Book Antiqua"/>
          <w:sz w:val="24"/>
          <w:szCs w:val="24"/>
        </w:rPr>
        <w:t xml:space="preserve"> that were safe and controlled. This is </w:t>
      </w:r>
      <w:r w:rsidR="00B834E7">
        <w:rPr>
          <w:rFonts w:ascii="Book Antiqua" w:hAnsi="Book Antiqua"/>
          <w:sz w:val="24"/>
          <w:szCs w:val="24"/>
        </w:rPr>
        <w:t>following</w:t>
      </w:r>
      <w:r w:rsidRPr="001B1E92">
        <w:rPr>
          <w:rFonts w:ascii="Book Antiqua" w:hAnsi="Book Antiqua"/>
          <w:sz w:val="24"/>
          <w:szCs w:val="24"/>
        </w:rPr>
        <w:t xml:space="preserve"> the security function</w:t>
      </w:r>
      <w:r w:rsidR="00B834E7">
        <w:rPr>
          <w:rFonts w:ascii="Book Antiqua" w:hAnsi="Book Antiqua"/>
          <w:sz w:val="24"/>
          <w:szCs w:val="24"/>
        </w:rPr>
        <w:t xml:space="preserve"> </w:t>
      </w:r>
      <w:r w:rsidRPr="001B1E92">
        <w:rPr>
          <w:rFonts w:ascii="Book Antiqua" w:hAnsi="Book Antiqua"/>
          <w:sz w:val="24"/>
          <w:szCs w:val="24"/>
        </w:rPr>
        <w:t>to prevent damage or destruction to personnel, materials, documentation, information, activities/operations, communications</w:t>
      </w:r>
      <w:r w:rsidR="00B834E7">
        <w:rPr>
          <w:rFonts w:ascii="Book Antiqua" w:hAnsi="Book Antiqua"/>
          <w:sz w:val="24"/>
          <w:szCs w:val="24"/>
        </w:rPr>
        <w:t>,</w:t>
      </w:r>
      <w:r w:rsidRPr="001B1E92">
        <w:rPr>
          <w:rFonts w:ascii="Book Antiqua" w:hAnsi="Book Antiqua"/>
          <w:sz w:val="24"/>
          <w:szCs w:val="24"/>
        </w:rPr>
        <w:t xml:space="preserve"> and the environment from interference by intelligence services in the form of theft, sabotage, terror, and so on. An overview of the security scheme can be seen in </w:t>
      </w:r>
      <w:r>
        <w:rPr>
          <w:rFonts w:ascii="Book Antiqua" w:hAnsi="Book Antiqua"/>
          <w:sz w:val="24"/>
          <w:szCs w:val="24"/>
        </w:rPr>
        <w:fldChar w:fldCharType="begin"/>
      </w:r>
      <w:r>
        <w:rPr>
          <w:rFonts w:ascii="Book Antiqua" w:hAnsi="Book Antiqua"/>
          <w:sz w:val="24"/>
          <w:szCs w:val="24"/>
        </w:rPr>
        <w:instrText xml:space="preserve"> REF _Ref124803913 \h </w:instrText>
      </w:r>
      <w:r>
        <w:rPr>
          <w:rFonts w:ascii="Book Antiqua" w:hAnsi="Book Antiqua"/>
          <w:sz w:val="24"/>
          <w:szCs w:val="24"/>
        </w:rPr>
      </w:r>
      <w:r>
        <w:rPr>
          <w:rFonts w:ascii="Book Antiqua" w:hAnsi="Book Antiqua"/>
          <w:sz w:val="24"/>
          <w:szCs w:val="24"/>
        </w:rPr>
        <w:fldChar w:fldCharType="separate"/>
      </w:r>
      <w:r w:rsidRPr="001B1E92">
        <w:rPr>
          <w:rFonts w:ascii="Book Antiqua" w:hAnsi="Book Antiqua"/>
          <w:sz w:val="24"/>
          <w:szCs w:val="24"/>
        </w:rPr>
        <w:t>Figure 2</w:t>
      </w:r>
      <w:r>
        <w:rPr>
          <w:rFonts w:ascii="Book Antiqua" w:hAnsi="Book Antiqua"/>
          <w:sz w:val="24"/>
          <w:szCs w:val="24"/>
        </w:rPr>
        <w:fldChar w:fldCharType="end"/>
      </w:r>
      <w:r w:rsidRPr="001B1E92">
        <w:rPr>
          <w:rFonts w:ascii="Book Antiqua" w:hAnsi="Book Antiqua"/>
          <w:sz w:val="24"/>
          <w:szCs w:val="24"/>
        </w:rPr>
        <w:t>.</w:t>
      </w:r>
    </w:p>
    <w:p w14:paraId="0B7F9B18" w14:textId="77777777" w:rsidR="001B1E92" w:rsidRDefault="001B1E92" w:rsidP="001B1E92">
      <w:pPr>
        <w:keepNext/>
        <w:spacing w:after="240"/>
        <w:ind w:left="-142"/>
        <w:jc w:val="center"/>
      </w:pPr>
      <w:r>
        <w:rPr>
          <w:rFonts w:ascii="Book Antiqua" w:hAnsi="Book Antiqua"/>
          <w:noProof/>
          <w:sz w:val="24"/>
          <w:szCs w:val="24"/>
          <w:lang w:val="id-ID" w:eastAsia="id-ID"/>
        </w:rPr>
        <w:drawing>
          <wp:inline distT="0" distB="0" distL="0" distR="0" wp14:anchorId="76111FD5" wp14:editId="17C9CC6A">
            <wp:extent cx="2316480" cy="1443603"/>
            <wp:effectExtent l="0" t="0" r="762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10">
                      <a:extLst>
                        <a:ext uri="{28A0092B-C50C-407E-A947-70E740481C1C}">
                          <a14:useLocalDpi xmlns:a14="http://schemas.microsoft.com/office/drawing/2010/main" val="0"/>
                        </a:ext>
                      </a:extLst>
                    </a:blip>
                    <a:srcRect l="3668" r="67125" b="67642"/>
                    <a:stretch/>
                  </pic:blipFill>
                  <pic:spPr bwMode="auto">
                    <a:xfrm>
                      <a:off x="0" y="0"/>
                      <a:ext cx="2318992" cy="1445168"/>
                    </a:xfrm>
                    <a:prstGeom prst="rect">
                      <a:avLst/>
                    </a:prstGeom>
                    <a:ln>
                      <a:noFill/>
                    </a:ln>
                    <a:extLst>
                      <a:ext uri="{53640926-AAD7-44D8-BBD7-CCE9431645EC}">
                        <a14:shadowObscured xmlns:a14="http://schemas.microsoft.com/office/drawing/2010/main"/>
                      </a:ext>
                    </a:extLst>
                  </pic:spPr>
                </pic:pic>
              </a:graphicData>
            </a:graphic>
          </wp:inline>
        </w:drawing>
      </w:r>
    </w:p>
    <w:p w14:paraId="29AB6982" w14:textId="26993707" w:rsidR="001B1E92" w:rsidRPr="001B1E92" w:rsidRDefault="001B1E92" w:rsidP="001B1E92">
      <w:pPr>
        <w:spacing w:after="240"/>
        <w:ind w:left="-142"/>
        <w:jc w:val="center"/>
        <w:rPr>
          <w:rFonts w:ascii="Book Antiqua" w:hAnsi="Book Antiqua"/>
          <w:sz w:val="24"/>
          <w:szCs w:val="24"/>
        </w:rPr>
      </w:pPr>
      <w:bookmarkStart w:id="2" w:name="_Ref124803913"/>
      <w:r w:rsidRPr="001B1E92">
        <w:rPr>
          <w:rFonts w:ascii="Book Antiqua" w:hAnsi="Book Antiqua"/>
          <w:sz w:val="24"/>
          <w:szCs w:val="24"/>
        </w:rPr>
        <w:t xml:space="preserve">Figure </w:t>
      </w:r>
      <w:r w:rsidRPr="001B1E92">
        <w:rPr>
          <w:rFonts w:ascii="Book Antiqua" w:hAnsi="Book Antiqua"/>
          <w:sz w:val="24"/>
          <w:szCs w:val="24"/>
        </w:rPr>
        <w:fldChar w:fldCharType="begin"/>
      </w:r>
      <w:r w:rsidRPr="001B1E92">
        <w:rPr>
          <w:rFonts w:ascii="Book Antiqua" w:hAnsi="Book Antiqua"/>
          <w:sz w:val="24"/>
          <w:szCs w:val="24"/>
        </w:rPr>
        <w:instrText xml:space="preserve"> SEQ Figure \* ARABIC </w:instrText>
      </w:r>
      <w:r w:rsidRPr="001B1E92">
        <w:rPr>
          <w:rFonts w:ascii="Book Antiqua" w:hAnsi="Book Antiqua"/>
          <w:sz w:val="24"/>
          <w:szCs w:val="24"/>
        </w:rPr>
        <w:fldChar w:fldCharType="separate"/>
      </w:r>
      <w:r w:rsidR="00E70770">
        <w:rPr>
          <w:rFonts w:ascii="Book Antiqua" w:hAnsi="Book Antiqua"/>
          <w:noProof/>
          <w:sz w:val="24"/>
          <w:szCs w:val="24"/>
        </w:rPr>
        <w:t>2</w:t>
      </w:r>
      <w:r w:rsidRPr="001B1E92">
        <w:rPr>
          <w:rFonts w:ascii="Book Antiqua" w:hAnsi="Book Antiqua"/>
          <w:sz w:val="24"/>
          <w:szCs w:val="24"/>
        </w:rPr>
        <w:fldChar w:fldCharType="end"/>
      </w:r>
      <w:bookmarkEnd w:id="2"/>
      <w:r w:rsidRPr="001B1E92">
        <w:rPr>
          <w:rFonts w:ascii="Book Antiqua" w:hAnsi="Book Antiqua"/>
          <w:sz w:val="24"/>
          <w:szCs w:val="24"/>
        </w:rPr>
        <w:t>.</w:t>
      </w:r>
      <w:r w:rsidR="00DC3F95">
        <w:rPr>
          <w:rFonts w:ascii="Book Antiqua" w:hAnsi="Book Antiqua"/>
          <w:sz w:val="24"/>
          <w:szCs w:val="24"/>
        </w:rPr>
        <w:t xml:space="preserve"> </w:t>
      </w:r>
      <w:r w:rsidRPr="001B1E92">
        <w:rPr>
          <w:rFonts w:ascii="Book Antiqua" w:hAnsi="Book Antiqua"/>
          <w:sz w:val="24"/>
          <w:szCs w:val="24"/>
        </w:rPr>
        <w:t>Security Scheme</w:t>
      </w:r>
    </w:p>
    <w:p w14:paraId="4654C038" w14:textId="474ED9A2" w:rsidR="00DC3F95" w:rsidRDefault="00DC3F95" w:rsidP="00DC3F95">
      <w:pPr>
        <w:spacing w:after="240"/>
        <w:ind w:left="-142"/>
        <w:jc w:val="both"/>
        <w:rPr>
          <w:rFonts w:ascii="Book Antiqua" w:hAnsi="Book Antiqua"/>
          <w:sz w:val="24"/>
          <w:szCs w:val="24"/>
        </w:rPr>
      </w:pPr>
      <w:r w:rsidRPr="00DC3F95">
        <w:rPr>
          <w:rFonts w:ascii="Book Antiqua" w:hAnsi="Book Antiqua"/>
          <w:sz w:val="24"/>
          <w:szCs w:val="24"/>
        </w:rPr>
        <w:t>Besides investigation and security, the last pillar of intelligence activity is fundraising action.</w:t>
      </w:r>
      <w:r w:rsidR="00FC26F6">
        <w:rPr>
          <w:rFonts w:ascii="Book Antiqua" w:hAnsi="Book Antiqua"/>
          <w:sz w:val="24"/>
          <w:szCs w:val="24"/>
        </w:rPr>
        <w:t xml:space="preserve"> </w:t>
      </w:r>
      <w:r w:rsidR="00FC26F6" w:rsidRPr="00DC3F95">
        <w:rPr>
          <w:rFonts w:ascii="Book Antiqua" w:hAnsi="Book Antiqua"/>
          <w:sz w:val="24"/>
          <w:szCs w:val="24"/>
        </w:rPr>
        <w:t>Fund-raise</w:t>
      </w:r>
      <w:r w:rsidRPr="00DC3F95">
        <w:rPr>
          <w:rFonts w:ascii="Book Antiqua" w:hAnsi="Book Antiqua"/>
          <w:sz w:val="24"/>
          <w:szCs w:val="24"/>
        </w:rPr>
        <w:t xml:space="preserve"> is a series of efforts, activities, work and actions that are carried out in a planned, gradual and sustainable manner in the intelligence activity chain cycle to change and create situations and conditions in certain areas and at certain times that are profitable for the fundraiser, where the target of fundraising is individuals, groups or society in general</w:t>
      </w:r>
      <w:r w:rsidR="00E70770">
        <w:rPr>
          <w:rFonts w:ascii="Book Antiqua" w:hAnsi="Book Antiqua"/>
          <w:sz w:val="24"/>
          <w:szCs w:val="24"/>
        </w:rPr>
        <w:t xml:space="preserve"> </w:t>
      </w:r>
      <w:r w:rsidR="00A81A21">
        <w:rPr>
          <w:rStyle w:val="FootnoteReference"/>
          <w:rFonts w:ascii="Book Antiqua" w:hAnsi="Book Antiqua"/>
          <w:sz w:val="24"/>
          <w:szCs w:val="24"/>
        </w:rPr>
        <w:footnoteReference w:id="25"/>
      </w:r>
      <w:r w:rsidRPr="00DC3F95">
        <w:rPr>
          <w:rFonts w:ascii="Book Antiqua" w:hAnsi="Book Antiqua"/>
          <w:sz w:val="24"/>
          <w:szCs w:val="24"/>
        </w:rPr>
        <w:t xml:space="preserve"> Forms of fundraising are socialization activities, </w:t>
      </w:r>
      <w:r w:rsidR="00FC26F6" w:rsidRPr="00DC3F95">
        <w:rPr>
          <w:rFonts w:ascii="Book Antiqua" w:hAnsi="Book Antiqua"/>
          <w:sz w:val="24"/>
          <w:szCs w:val="24"/>
        </w:rPr>
        <w:t>analysis</w:t>
      </w:r>
      <w:r w:rsidRPr="00DC3F95">
        <w:rPr>
          <w:rFonts w:ascii="Book Antiqua" w:hAnsi="Book Antiqua"/>
          <w:sz w:val="24"/>
          <w:szCs w:val="24"/>
        </w:rPr>
        <w:t xml:space="preserve">, information, and so on. The fundraising function usually occurs before acts of terrorism occur. When evidence has been found and security is carried out, intelligence makes efforts to go into the community to moderate understandings that develop through </w:t>
      </w:r>
      <w:r w:rsidR="00FC26F6" w:rsidRPr="00DC3F95">
        <w:rPr>
          <w:rFonts w:ascii="Book Antiqua" w:hAnsi="Book Antiqua"/>
          <w:sz w:val="24"/>
          <w:szCs w:val="24"/>
        </w:rPr>
        <w:t>analysis</w:t>
      </w:r>
      <w:r w:rsidRPr="00DC3F95">
        <w:rPr>
          <w:rFonts w:ascii="Book Antiqua" w:hAnsi="Book Antiqua"/>
          <w:sz w:val="24"/>
          <w:szCs w:val="24"/>
        </w:rPr>
        <w:t>, discussions, and so on together with stakeholders in the surrounding environment. The fundraising scheme can be seen in Figure 3.</w:t>
      </w:r>
    </w:p>
    <w:p w14:paraId="10102AA9" w14:textId="77777777" w:rsidR="00E70770" w:rsidRDefault="00415D43" w:rsidP="00E70770">
      <w:pPr>
        <w:keepNext/>
        <w:spacing w:after="240"/>
        <w:ind w:left="-142"/>
        <w:jc w:val="center"/>
      </w:pPr>
      <w:r>
        <w:rPr>
          <w:rFonts w:ascii="Book Antiqua" w:hAnsi="Book Antiqua"/>
          <w:noProof/>
          <w:sz w:val="24"/>
          <w:szCs w:val="24"/>
          <w:lang w:val="id-ID" w:eastAsia="id-ID"/>
        </w:rPr>
        <w:drawing>
          <wp:inline distT="0" distB="0" distL="0" distR="0" wp14:anchorId="1E439023" wp14:editId="443F7B12">
            <wp:extent cx="2994660" cy="20497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1">
                      <a:extLst>
                        <a:ext uri="{28A0092B-C50C-407E-A947-70E740481C1C}">
                          <a14:useLocalDpi xmlns:a14="http://schemas.microsoft.com/office/drawing/2010/main" val="0"/>
                        </a:ext>
                      </a:extLst>
                    </a:blip>
                    <a:srcRect t="3428" r="44550" b="29097"/>
                    <a:stretch/>
                  </pic:blipFill>
                  <pic:spPr bwMode="auto">
                    <a:xfrm>
                      <a:off x="0" y="0"/>
                      <a:ext cx="2994660" cy="2049780"/>
                    </a:xfrm>
                    <a:prstGeom prst="rect">
                      <a:avLst/>
                    </a:prstGeom>
                    <a:ln>
                      <a:noFill/>
                    </a:ln>
                    <a:extLst>
                      <a:ext uri="{53640926-AAD7-44D8-BBD7-CCE9431645EC}">
                        <a14:shadowObscured xmlns:a14="http://schemas.microsoft.com/office/drawing/2010/main"/>
                      </a:ext>
                    </a:extLst>
                  </pic:spPr>
                </pic:pic>
              </a:graphicData>
            </a:graphic>
          </wp:inline>
        </w:drawing>
      </w:r>
    </w:p>
    <w:p w14:paraId="50E31160" w14:textId="22292F6E" w:rsidR="00415D43" w:rsidRDefault="00E70770" w:rsidP="00E70770">
      <w:pPr>
        <w:spacing w:after="240"/>
        <w:ind w:left="-142"/>
        <w:jc w:val="center"/>
        <w:rPr>
          <w:rFonts w:ascii="Book Antiqua" w:hAnsi="Book Antiqua"/>
          <w:sz w:val="24"/>
          <w:szCs w:val="24"/>
        </w:rPr>
      </w:pPr>
      <w:r w:rsidRPr="00E70770">
        <w:rPr>
          <w:rFonts w:ascii="Book Antiqua" w:hAnsi="Book Antiqua"/>
          <w:sz w:val="24"/>
          <w:szCs w:val="24"/>
        </w:rPr>
        <w:t xml:space="preserve">Figure </w:t>
      </w:r>
      <w:r w:rsidRPr="00E70770">
        <w:rPr>
          <w:rFonts w:ascii="Book Antiqua" w:hAnsi="Book Antiqua"/>
          <w:sz w:val="24"/>
          <w:szCs w:val="24"/>
        </w:rPr>
        <w:fldChar w:fldCharType="begin"/>
      </w:r>
      <w:r w:rsidRPr="00E70770">
        <w:rPr>
          <w:rFonts w:ascii="Book Antiqua" w:hAnsi="Book Antiqua"/>
          <w:sz w:val="24"/>
          <w:szCs w:val="24"/>
        </w:rPr>
        <w:instrText xml:space="preserve"> SEQ Figure \* ARABIC </w:instrText>
      </w:r>
      <w:r w:rsidRPr="00E70770">
        <w:rPr>
          <w:rFonts w:ascii="Book Antiqua" w:hAnsi="Book Antiqua"/>
          <w:sz w:val="24"/>
          <w:szCs w:val="24"/>
        </w:rPr>
        <w:fldChar w:fldCharType="separate"/>
      </w:r>
      <w:r w:rsidRPr="00E70770">
        <w:rPr>
          <w:rFonts w:ascii="Book Antiqua" w:hAnsi="Book Antiqua"/>
          <w:sz w:val="24"/>
          <w:szCs w:val="24"/>
        </w:rPr>
        <w:t>3</w:t>
      </w:r>
      <w:r w:rsidRPr="00E70770">
        <w:rPr>
          <w:rFonts w:ascii="Book Antiqua" w:hAnsi="Book Antiqua"/>
          <w:sz w:val="24"/>
          <w:szCs w:val="24"/>
        </w:rPr>
        <w:fldChar w:fldCharType="end"/>
      </w:r>
      <w:r w:rsidRPr="00E70770">
        <w:rPr>
          <w:rFonts w:ascii="Book Antiqua" w:hAnsi="Book Antiqua"/>
          <w:sz w:val="24"/>
          <w:szCs w:val="24"/>
        </w:rPr>
        <w:t>. Fundraising Scheme</w:t>
      </w:r>
    </w:p>
    <w:p w14:paraId="18FEE338" w14:textId="66FBE3E0" w:rsidR="00E70770" w:rsidRDefault="00E70770" w:rsidP="00E70770">
      <w:pPr>
        <w:spacing w:after="240"/>
        <w:ind w:left="-142"/>
        <w:jc w:val="both"/>
        <w:rPr>
          <w:rFonts w:ascii="Book Antiqua" w:hAnsi="Book Antiqua"/>
          <w:sz w:val="24"/>
          <w:szCs w:val="24"/>
        </w:rPr>
      </w:pPr>
      <w:r w:rsidRPr="00E70770">
        <w:rPr>
          <w:rFonts w:ascii="Book Antiqua" w:hAnsi="Book Antiqua"/>
          <w:sz w:val="24"/>
          <w:szCs w:val="24"/>
        </w:rPr>
        <w:t>As with the role of Indonesian intelligence in carrying out investigations, security and mobilization of potential terrorist attacks in Indonesia, the following section will further discuss the intelligence functions that have been carried out by BIN in tackling a number of terrorism cases in Indonesia as follows:</w:t>
      </w:r>
    </w:p>
    <w:p w14:paraId="6861F2EC" w14:textId="5D4CF2BC" w:rsidR="00E70770" w:rsidRPr="0060292A" w:rsidRDefault="00E70770" w:rsidP="00427BF1">
      <w:pPr>
        <w:spacing w:before="120"/>
        <w:ind w:left="-144"/>
        <w:jc w:val="both"/>
        <w:rPr>
          <w:rFonts w:ascii="Book Antiqua" w:hAnsi="Book Antiqua"/>
          <w:i/>
          <w:iCs/>
          <w:sz w:val="24"/>
          <w:szCs w:val="24"/>
        </w:rPr>
      </w:pPr>
      <w:r w:rsidRPr="0060292A">
        <w:rPr>
          <w:rFonts w:ascii="Book Antiqua" w:hAnsi="Book Antiqua"/>
          <w:i/>
          <w:iCs/>
          <w:sz w:val="24"/>
          <w:szCs w:val="24"/>
        </w:rPr>
        <w:t>Riot Cases in Poso region</w:t>
      </w:r>
    </w:p>
    <w:p w14:paraId="02033386" w14:textId="13732522" w:rsidR="00E70770" w:rsidRPr="00E70770" w:rsidRDefault="00E70770" w:rsidP="00E70770">
      <w:pPr>
        <w:spacing w:after="240"/>
        <w:ind w:left="-142"/>
        <w:jc w:val="both"/>
        <w:rPr>
          <w:rFonts w:ascii="Book Antiqua" w:hAnsi="Book Antiqua"/>
          <w:sz w:val="24"/>
          <w:szCs w:val="24"/>
        </w:rPr>
      </w:pPr>
      <w:r w:rsidRPr="00E70770">
        <w:rPr>
          <w:rFonts w:ascii="Book Antiqua" w:hAnsi="Book Antiqua"/>
          <w:sz w:val="24"/>
          <w:szCs w:val="24"/>
        </w:rPr>
        <w:t>Communal conflicts in Poso</w:t>
      </w:r>
      <w:r w:rsidR="00427BF1">
        <w:rPr>
          <w:rFonts w:ascii="Book Antiqua" w:hAnsi="Book Antiqua"/>
          <w:sz w:val="24"/>
          <w:szCs w:val="24"/>
        </w:rPr>
        <w:t xml:space="preserve"> region</w:t>
      </w:r>
      <w:r w:rsidRPr="00E70770">
        <w:rPr>
          <w:rFonts w:ascii="Book Antiqua" w:hAnsi="Book Antiqua"/>
          <w:sz w:val="24"/>
          <w:szCs w:val="24"/>
        </w:rPr>
        <w:t xml:space="preserve"> have occurred since December 24, 1998</w:t>
      </w:r>
      <w:r w:rsidR="00427BF1">
        <w:rPr>
          <w:rFonts w:ascii="Book Antiqua" w:hAnsi="Book Antiqua"/>
          <w:sz w:val="24"/>
          <w:szCs w:val="24"/>
        </w:rPr>
        <w:t xml:space="preserve"> </w:t>
      </w:r>
      <w:r w:rsidR="00A81A21">
        <w:rPr>
          <w:rStyle w:val="FootnoteReference"/>
          <w:rFonts w:ascii="Book Antiqua" w:hAnsi="Book Antiqua"/>
          <w:sz w:val="24"/>
          <w:szCs w:val="24"/>
        </w:rPr>
        <w:footnoteReference w:id="26"/>
      </w:r>
      <w:r w:rsidRPr="00E70770">
        <w:rPr>
          <w:rFonts w:ascii="Book Antiqua" w:hAnsi="Book Antiqua"/>
          <w:sz w:val="24"/>
          <w:szCs w:val="24"/>
        </w:rPr>
        <w:t>. The incident started with a fight between youths who happened to have different religions, giving rise to religious sentiments between Islam and Christianity that have survived to this day. Further tension occurred in April, until May 2000 and the escalation of the conflict was increasingly widespread. The government did not remain silent in dealing with this situation, peace efforts were made by carrying out the Malino Peace Declaration I in December 2001</w:t>
      </w:r>
      <w:r w:rsidR="00064033">
        <w:rPr>
          <w:rFonts w:ascii="Book Antiqua" w:hAnsi="Book Antiqua"/>
          <w:sz w:val="24"/>
          <w:szCs w:val="24"/>
        </w:rPr>
        <w:t xml:space="preserve"> </w:t>
      </w:r>
      <w:r w:rsidR="00A81A21">
        <w:rPr>
          <w:rStyle w:val="FootnoteReference"/>
          <w:rFonts w:ascii="Book Antiqua" w:hAnsi="Book Antiqua"/>
          <w:sz w:val="24"/>
          <w:szCs w:val="24"/>
        </w:rPr>
        <w:footnoteReference w:id="27"/>
      </w:r>
      <w:r w:rsidRPr="00E70770">
        <w:rPr>
          <w:rFonts w:ascii="Book Antiqua" w:hAnsi="Book Antiqua"/>
          <w:sz w:val="24"/>
          <w:szCs w:val="24"/>
        </w:rPr>
        <w:t>. After the riots subsided, major operations were carried out, such as the Sintuwu Maroso Operation in 2014, the Camar Maleo Operation in 2015, and the Tinombala Operation which was carried out from 2016 to 2020.</w:t>
      </w:r>
    </w:p>
    <w:p w14:paraId="4FDC3E4C" w14:textId="77FCDCFE" w:rsidR="00E70770" w:rsidRPr="00E70770" w:rsidRDefault="00E70770" w:rsidP="00E70770">
      <w:pPr>
        <w:spacing w:after="240"/>
        <w:ind w:left="-142"/>
        <w:jc w:val="both"/>
        <w:rPr>
          <w:rFonts w:ascii="Book Antiqua" w:hAnsi="Book Antiqua"/>
          <w:sz w:val="24"/>
          <w:szCs w:val="24"/>
        </w:rPr>
      </w:pPr>
      <w:r w:rsidRPr="00E70770">
        <w:rPr>
          <w:rFonts w:ascii="Book Antiqua" w:hAnsi="Book Antiqua"/>
          <w:sz w:val="24"/>
          <w:szCs w:val="24"/>
        </w:rPr>
        <w:t>Sometime before the riots occurred, BIN had carried out a series of investigative operations so that it succeeded in detecting the possibility of riots occurring in Poso</w:t>
      </w:r>
      <w:r w:rsidR="00CC6A2D">
        <w:rPr>
          <w:rFonts w:ascii="Book Antiqua" w:hAnsi="Book Antiqua"/>
          <w:sz w:val="24"/>
          <w:szCs w:val="24"/>
        </w:rPr>
        <w:t xml:space="preserve"> </w:t>
      </w:r>
      <w:r w:rsidR="00A81A21">
        <w:rPr>
          <w:rStyle w:val="FootnoteReference"/>
          <w:rFonts w:ascii="Book Antiqua" w:hAnsi="Book Antiqua"/>
          <w:sz w:val="24"/>
          <w:szCs w:val="24"/>
        </w:rPr>
        <w:footnoteReference w:id="28"/>
      </w:r>
      <w:r w:rsidRPr="00E70770">
        <w:rPr>
          <w:rFonts w:ascii="Book Antiqua" w:hAnsi="Book Antiqua"/>
          <w:sz w:val="24"/>
          <w:szCs w:val="24"/>
        </w:rPr>
        <w:t>. Indications were found before the attacks by unknown armed groups on people in Morowali and Poso districts on 10</w:t>
      </w:r>
      <w:r w:rsidR="00CC6A2D">
        <w:rPr>
          <w:rFonts w:ascii="Book Antiqua" w:hAnsi="Book Antiqua"/>
          <w:sz w:val="24"/>
          <w:szCs w:val="24"/>
        </w:rPr>
        <w:sym w:font="Symbol" w:char="F0BE"/>
      </w:r>
      <w:r w:rsidRPr="00E70770">
        <w:rPr>
          <w:rFonts w:ascii="Book Antiqua" w:hAnsi="Book Antiqua"/>
          <w:sz w:val="24"/>
          <w:szCs w:val="24"/>
        </w:rPr>
        <w:t>12 October 2003. According to the Deputy Head of BIN at the time, As'ad Said Ali, the intelligence apparatus in the regions had known that there was a possibility of an attack or riot in Poso. Head of the State Intelligence Agency AM Hendropriyono admitted that his party had identified that the instigators of the conflict in Poso were old players. According to the head of BIN, actually the root cause of the riot that killed nine people was the existence of these old players. Not surprisingly, these old people will continue to look for problems that can trigger new conflicts. Therefore, if the whereabouts of these people were not resolved soon, similar conflicts would continue to occur</w:t>
      </w:r>
      <w:r w:rsidR="00CC6A2D">
        <w:rPr>
          <w:rFonts w:ascii="Book Antiqua" w:hAnsi="Book Antiqua"/>
          <w:sz w:val="24"/>
          <w:szCs w:val="24"/>
        </w:rPr>
        <w:t xml:space="preserve"> </w:t>
      </w:r>
      <w:r w:rsidR="00A81A21">
        <w:rPr>
          <w:rStyle w:val="FootnoteReference"/>
          <w:rFonts w:ascii="Book Antiqua" w:hAnsi="Book Antiqua"/>
          <w:sz w:val="24"/>
          <w:szCs w:val="24"/>
        </w:rPr>
        <w:footnoteReference w:id="29"/>
      </w:r>
      <w:r w:rsidRPr="00E70770">
        <w:rPr>
          <w:rFonts w:ascii="Book Antiqua" w:hAnsi="Book Antiqua"/>
          <w:sz w:val="24"/>
          <w:szCs w:val="24"/>
        </w:rPr>
        <w:t>.</w:t>
      </w:r>
    </w:p>
    <w:p w14:paraId="4F4ED74D" w14:textId="3AB70684" w:rsidR="00E70770" w:rsidRDefault="00E70770" w:rsidP="00E70770">
      <w:pPr>
        <w:spacing w:after="240"/>
        <w:ind w:left="-142"/>
        <w:jc w:val="both"/>
        <w:rPr>
          <w:rFonts w:ascii="Book Antiqua" w:hAnsi="Book Antiqua"/>
          <w:sz w:val="24"/>
          <w:szCs w:val="24"/>
        </w:rPr>
      </w:pPr>
      <w:r w:rsidRPr="00E70770">
        <w:rPr>
          <w:rFonts w:ascii="Book Antiqua" w:hAnsi="Book Antiqua"/>
          <w:sz w:val="24"/>
          <w:szCs w:val="24"/>
        </w:rPr>
        <w:t>In addition to investigations, intelligence also carried out efforts to secure the Poso case. As its definition,</w:t>
      </w:r>
      <w:r w:rsidR="00CC6A2D">
        <w:rPr>
          <w:rFonts w:ascii="Book Antiqua" w:hAnsi="Book Antiqua"/>
          <w:sz w:val="24"/>
          <w:szCs w:val="24"/>
        </w:rPr>
        <w:t xml:space="preserve"> </w:t>
      </w:r>
      <w:r w:rsidRPr="00E70770">
        <w:rPr>
          <w:rFonts w:ascii="Book Antiqua" w:hAnsi="Book Antiqua"/>
          <w:sz w:val="24"/>
          <w:szCs w:val="24"/>
        </w:rPr>
        <w:t>Security is an effort to protect, neutralize, clean and secure the environment along with everything in order to create a safe and controlled condition from any dangerous action</w:t>
      </w:r>
      <w:r w:rsidR="00CC6A2D">
        <w:rPr>
          <w:rFonts w:ascii="Book Antiqua" w:hAnsi="Book Antiqua"/>
          <w:sz w:val="24"/>
          <w:szCs w:val="24"/>
        </w:rPr>
        <w:t xml:space="preserve"> </w:t>
      </w:r>
      <w:r w:rsidR="00A81A21">
        <w:rPr>
          <w:rStyle w:val="FootnoteReference"/>
          <w:rFonts w:ascii="Book Antiqua" w:hAnsi="Book Antiqua"/>
          <w:sz w:val="24"/>
          <w:szCs w:val="24"/>
        </w:rPr>
        <w:footnoteReference w:id="30"/>
      </w:r>
      <w:r w:rsidRPr="00E70770">
        <w:rPr>
          <w:rFonts w:ascii="Book Antiqua" w:hAnsi="Book Antiqua"/>
          <w:sz w:val="24"/>
          <w:szCs w:val="24"/>
        </w:rPr>
        <w:t>.</w:t>
      </w:r>
      <w:r w:rsidR="00CC6A2D">
        <w:rPr>
          <w:rFonts w:ascii="Book Antiqua" w:hAnsi="Book Antiqua"/>
          <w:sz w:val="24"/>
          <w:szCs w:val="24"/>
        </w:rPr>
        <w:t xml:space="preserve"> </w:t>
      </w:r>
      <w:r w:rsidRPr="00E70770">
        <w:rPr>
          <w:rFonts w:ascii="Book Antiqua" w:hAnsi="Book Antiqua"/>
          <w:sz w:val="24"/>
          <w:szCs w:val="24"/>
        </w:rPr>
        <w:t>Intelligence work in Poso has also succeeded in mobilizing civilian groups involved in the conflict to defuse the escalation of the conflict in order to secure territory. This condition is done to neutralize the environment in order to create safe and controlled conditions.</w:t>
      </w:r>
    </w:p>
    <w:p w14:paraId="0FE2A062" w14:textId="2A631A19" w:rsidR="001A1282" w:rsidRPr="0060292A" w:rsidRDefault="001A1282" w:rsidP="001A1282">
      <w:pPr>
        <w:spacing w:before="120"/>
        <w:ind w:left="-144"/>
        <w:jc w:val="both"/>
        <w:rPr>
          <w:rFonts w:ascii="Book Antiqua" w:hAnsi="Book Antiqua"/>
          <w:i/>
          <w:iCs/>
          <w:sz w:val="24"/>
          <w:szCs w:val="24"/>
        </w:rPr>
      </w:pPr>
      <w:r w:rsidRPr="0060292A">
        <w:rPr>
          <w:rFonts w:ascii="Book Antiqua" w:hAnsi="Book Antiqua"/>
          <w:i/>
          <w:iCs/>
          <w:sz w:val="24"/>
          <w:szCs w:val="24"/>
        </w:rPr>
        <w:t>The Thamrin Bomb Case</w:t>
      </w:r>
    </w:p>
    <w:p w14:paraId="461C8681" w14:textId="01CB27E3" w:rsidR="001A1282" w:rsidRPr="001A1282" w:rsidRDefault="001A1282" w:rsidP="001A1282">
      <w:pPr>
        <w:spacing w:after="240"/>
        <w:ind w:left="-142"/>
        <w:jc w:val="both"/>
        <w:rPr>
          <w:rFonts w:ascii="Book Antiqua" w:hAnsi="Book Antiqua"/>
          <w:sz w:val="24"/>
          <w:szCs w:val="24"/>
        </w:rPr>
      </w:pPr>
      <w:r w:rsidRPr="001A1282">
        <w:rPr>
          <w:rFonts w:ascii="Book Antiqua" w:hAnsi="Book Antiqua"/>
          <w:sz w:val="24"/>
          <w:szCs w:val="24"/>
        </w:rPr>
        <w:t>On January 14, 2016 there was a bomb attack and shooting at the Sarinah intersection, Jl. MH Thamrin, Sarinah</w:t>
      </w:r>
      <w:r>
        <w:rPr>
          <w:rFonts w:ascii="Book Antiqua" w:hAnsi="Book Antiqua"/>
          <w:sz w:val="24"/>
          <w:szCs w:val="24"/>
        </w:rPr>
        <w:t xml:space="preserve">  </w:t>
      </w:r>
      <w:r w:rsidR="00A81A21">
        <w:rPr>
          <w:rStyle w:val="FootnoteReference"/>
          <w:rFonts w:ascii="Book Antiqua" w:hAnsi="Book Antiqua"/>
          <w:sz w:val="24"/>
          <w:szCs w:val="24"/>
        </w:rPr>
        <w:footnoteReference w:id="31"/>
      </w:r>
      <w:r w:rsidRPr="001A1282">
        <w:rPr>
          <w:rFonts w:ascii="Book Antiqua" w:hAnsi="Book Antiqua"/>
          <w:sz w:val="24"/>
          <w:szCs w:val="24"/>
        </w:rPr>
        <w:t>. The terror act was initiated by a perpetrator named Ahmad Muhazan who carried out a suicide bombing at Starbucks. Eleven minutes later, the second bomb explosion was carried out by Dian Juni Kurniadi at the police post near the Sarinah Building. The terrorist act claimed 21 victims, 8 of whom died. The police suspect that the terror act in the MH Thamrin area is related to the Islamic State of Iraq and Syria (ISIS) network with Bahrun Naim accused of being involved in the attack. The evidence for this arrest included 533 long-barreled rifle bullets and 32 military 99 caliber bullets</w:t>
      </w:r>
      <w:r>
        <w:rPr>
          <w:rFonts w:ascii="Book Antiqua" w:hAnsi="Book Antiqua"/>
          <w:sz w:val="24"/>
          <w:szCs w:val="24"/>
        </w:rPr>
        <w:t xml:space="preserve"> </w:t>
      </w:r>
      <w:r w:rsidR="00A81A21">
        <w:rPr>
          <w:rStyle w:val="FootnoteReference"/>
          <w:rFonts w:ascii="Book Antiqua" w:hAnsi="Book Antiqua"/>
          <w:sz w:val="24"/>
          <w:szCs w:val="24"/>
        </w:rPr>
        <w:footnoteReference w:id="32"/>
      </w:r>
      <w:r w:rsidRPr="001A1282">
        <w:rPr>
          <w:rFonts w:ascii="Book Antiqua" w:hAnsi="Book Antiqua"/>
          <w:sz w:val="24"/>
          <w:szCs w:val="24"/>
        </w:rPr>
        <w:t>.</w:t>
      </w:r>
    </w:p>
    <w:p w14:paraId="4F60EA30" w14:textId="1B413DCA" w:rsidR="001A1282" w:rsidRDefault="001A1282" w:rsidP="001A1282">
      <w:pPr>
        <w:spacing w:after="240"/>
        <w:ind w:left="-142"/>
        <w:jc w:val="both"/>
        <w:rPr>
          <w:rFonts w:ascii="Book Antiqua" w:hAnsi="Book Antiqua"/>
          <w:sz w:val="24"/>
          <w:szCs w:val="24"/>
        </w:rPr>
      </w:pPr>
      <w:r w:rsidRPr="001A1282">
        <w:rPr>
          <w:rFonts w:ascii="Book Antiqua" w:hAnsi="Book Antiqua"/>
          <w:sz w:val="24"/>
          <w:szCs w:val="24"/>
        </w:rPr>
        <w:t>Long before this attack occurred, BIN had carried out an investigative operation on the terrorist network linked to the Thamrin bombing and concluded that there would be potential terrorist attacks between December-January 2016.</w:t>
      </w:r>
      <w:r w:rsidR="0060292A">
        <w:rPr>
          <w:rFonts w:ascii="Book Antiqua" w:hAnsi="Book Antiqua"/>
          <w:sz w:val="24"/>
          <w:szCs w:val="24"/>
        </w:rPr>
        <w:t xml:space="preserve"> </w:t>
      </w:r>
      <w:r w:rsidRPr="001A1282">
        <w:rPr>
          <w:rFonts w:ascii="Book Antiqua" w:hAnsi="Book Antiqua"/>
          <w:sz w:val="24"/>
          <w:szCs w:val="24"/>
        </w:rPr>
        <w:t>This investigation itself is carried out through a series of cycles of the chain of intelligence activities to search, explore, track, collect, record, and process and analyze data or information material (baket) into ready-to-use information as intelligence products.</w:t>
      </w:r>
      <w:r w:rsidR="0060292A">
        <w:rPr>
          <w:rFonts w:ascii="Book Antiqua" w:hAnsi="Book Antiqua"/>
          <w:sz w:val="24"/>
          <w:szCs w:val="24"/>
        </w:rPr>
        <w:t xml:space="preserve"> </w:t>
      </w:r>
      <w:r w:rsidRPr="001A1282">
        <w:rPr>
          <w:rFonts w:ascii="Book Antiqua" w:hAnsi="Book Antiqua"/>
          <w:sz w:val="24"/>
          <w:szCs w:val="24"/>
        </w:rPr>
        <w:t>Regarding the Thamrin bombing incident, the Head of BIN, Sutiyoso, complained that BIN did not have the authority to arrest suspected terrorists</w:t>
      </w:r>
      <w:r w:rsidR="0060292A">
        <w:rPr>
          <w:rFonts w:ascii="Book Antiqua" w:hAnsi="Book Antiqua"/>
          <w:sz w:val="24"/>
          <w:szCs w:val="24"/>
        </w:rPr>
        <w:t xml:space="preserve"> </w:t>
      </w:r>
      <w:r w:rsidR="00A81A21">
        <w:rPr>
          <w:rStyle w:val="FootnoteReference"/>
          <w:rFonts w:ascii="Book Antiqua" w:hAnsi="Book Antiqua"/>
          <w:sz w:val="24"/>
          <w:szCs w:val="24"/>
        </w:rPr>
        <w:footnoteReference w:id="33"/>
      </w:r>
      <w:r w:rsidRPr="001A1282">
        <w:rPr>
          <w:rFonts w:ascii="Book Antiqua" w:hAnsi="Book Antiqua"/>
          <w:sz w:val="24"/>
          <w:szCs w:val="24"/>
        </w:rPr>
        <w:t>. This weakness led the Head of BIN to propose revisions to Law No. 15 of 2003 concerning Anti-Terrorism and Law No. 17 of 2011 concerning State Intelligence so that BIN has the authority to arrest and interrogate suspected terrorists</w:t>
      </w:r>
      <w:r w:rsidR="0060292A">
        <w:rPr>
          <w:rFonts w:ascii="Book Antiqua" w:hAnsi="Book Antiqua"/>
          <w:sz w:val="24"/>
          <w:szCs w:val="24"/>
        </w:rPr>
        <w:t xml:space="preserve"> </w:t>
      </w:r>
      <w:r w:rsidR="00A81A21">
        <w:rPr>
          <w:rStyle w:val="FootnoteReference"/>
          <w:rFonts w:ascii="Book Antiqua" w:hAnsi="Book Antiqua"/>
          <w:sz w:val="24"/>
          <w:szCs w:val="24"/>
        </w:rPr>
        <w:footnoteReference w:id="34"/>
      </w:r>
      <w:r w:rsidRPr="001A1282">
        <w:rPr>
          <w:rFonts w:ascii="Book Antiqua" w:hAnsi="Book Antiqua"/>
          <w:sz w:val="24"/>
          <w:szCs w:val="24"/>
        </w:rPr>
        <w:t>. Not only BIN, the Thamrin bomb attack also prompted dozens of students who are members of the Student Action for Reform and Democracy (Kamerad) to demonstrate in front of the DPR RI building demanding to strengthen the role of intelligence in preventing and acting on terrorism</w:t>
      </w:r>
      <w:r w:rsidR="0060292A">
        <w:rPr>
          <w:rFonts w:ascii="Book Antiqua" w:hAnsi="Book Antiqua"/>
          <w:sz w:val="24"/>
          <w:szCs w:val="24"/>
        </w:rPr>
        <w:t xml:space="preserve"> </w:t>
      </w:r>
      <w:r w:rsidR="00A81A21">
        <w:rPr>
          <w:rStyle w:val="FootnoteReference"/>
          <w:rFonts w:ascii="Book Antiqua" w:hAnsi="Book Antiqua"/>
          <w:sz w:val="24"/>
          <w:szCs w:val="24"/>
        </w:rPr>
        <w:footnoteReference w:id="35"/>
      </w:r>
      <w:r w:rsidR="0060292A">
        <w:rPr>
          <w:rFonts w:ascii="Book Antiqua" w:hAnsi="Book Antiqua"/>
          <w:sz w:val="24"/>
          <w:szCs w:val="24"/>
        </w:rPr>
        <w:t>.</w:t>
      </w:r>
    </w:p>
    <w:p w14:paraId="170767C4" w14:textId="4874E2F3" w:rsidR="0060292A" w:rsidRPr="0060292A" w:rsidRDefault="0060292A" w:rsidP="0060292A">
      <w:pPr>
        <w:spacing w:before="120"/>
        <w:ind w:left="-144"/>
        <w:jc w:val="both"/>
        <w:rPr>
          <w:rFonts w:ascii="Book Antiqua" w:hAnsi="Book Antiqua"/>
          <w:i/>
          <w:iCs/>
          <w:sz w:val="24"/>
          <w:szCs w:val="24"/>
        </w:rPr>
      </w:pPr>
      <w:r w:rsidRPr="0060292A">
        <w:rPr>
          <w:rFonts w:ascii="Book Antiqua" w:hAnsi="Book Antiqua"/>
          <w:i/>
          <w:iCs/>
          <w:sz w:val="24"/>
          <w:szCs w:val="24"/>
        </w:rPr>
        <w:t>Makassar Cathedral Church Bombing Case</w:t>
      </w:r>
    </w:p>
    <w:p w14:paraId="2882A877" w14:textId="30EC2010" w:rsidR="0060292A" w:rsidRPr="0060292A" w:rsidRDefault="0060292A" w:rsidP="0060292A">
      <w:pPr>
        <w:spacing w:after="240"/>
        <w:ind w:left="-142"/>
        <w:jc w:val="both"/>
        <w:rPr>
          <w:rFonts w:ascii="Book Antiqua" w:hAnsi="Book Antiqua"/>
          <w:sz w:val="24"/>
          <w:szCs w:val="24"/>
        </w:rPr>
      </w:pPr>
      <w:r w:rsidRPr="0060292A">
        <w:rPr>
          <w:rFonts w:ascii="Book Antiqua" w:hAnsi="Book Antiqua"/>
          <w:sz w:val="24"/>
          <w:szCs w:val="24"/>
        </w:rPr>
        <w:t>On Sunday, March 28 2021, a terror attack was carried out by husband and wife L and YSM at the Cathedral Church, Makassar</w:t>
      </w:r>
      <w:r>
        <w:rPr>
          <w:rFonts w:ascii="Book Antiqua" w:hAnsi="Book Antiqua"/>
          <w:sz w:val="24"/>
          <w:szCs w:val="24"/>
        </w:rPr>
        <w:t xml:space="preserve"> </w:t>
      </w:r>
      <w:r w:rsidR="00A81A21">
        <w:rPr>
          <w:rStyle w:val="FootnoteReference"/>
          <w:rFonts w:ascii="Book Antiqua" w:hAnsi="Book Antiqua"/>
          <w:sz w:val="24"/>
          <w:szCs w:val="24"/>
        </w:rPr>
        <w:footnoteReference w:id="36"/>
      </w:r>
      <w:r w:rsidRPr="0060292A">
        <w:rPr>
          <w:rFonts w:ascii="Book Antiqua" w:hAnsi="Book Antiqua"/>
          <w:sz w:val="24"/>
          <w:szCs w:val="24"/>
        </w:rPr>
        <w:t>. This incident resulted in dozens of people who were carrying out Sunday services injured. The perpetrators in this action are known to be affiliated with the terrorist group, Jamaah Ansharut Daulah (JAD). This action is also suspected to be similar to the two other bombings that had occurred in Medan and Surabaya as a form of protest against law enforcement officials who were active in arresting suspected terrorists.</w:t>
      </w:r>
    </w:p>
    <w:p w14:paraId="3785B86C" w14:textId="4CC4A13B" w:rsidR="0060292A" w:rsidRDefault="0060292A" w:rsidP="0060292A">
      <w:pPr>
        <w:spacing w:after="240"/>
        <w:ind w:left="-142"/>
        <w:jc w:val="both"/>
        <w:rPr>
          <w:rFonts w:ascii="Book Antiqua" w:hAnsi="Book Antiqua"/>
          <w:sz w:val="24"/>
          <w:szCs w:val="24"/>
        </w:rPr>
      </w:pPr>
      <w:r w:rsidRPr="0060292A">
        <w:rPr>
          <w:rFonts w:ascii="Book Antiqua" w:hAnsi="Book Antiqua"/>
          <w:sz w:val="24"/>
          <w:szCs w:val="24"/>
        </w:rPr>
        <w:t>This incident itself has actually been indicated by BIN since 2015 when hundreds of worshipers were sworn in by ISIS in Sudiang, South Sulawesi</w:t>
      </w:r>
      <w:r w:rsidR="00277307">
        <w:rPr>
          <w:rFonts w:ascii="Book Antiqua" w:hAnsi="Book Antiqua"/>
          <w:sz w:val="24"/>
          <w:szCs w:val="24"/>
        </w:rPr>
        <w:t xml:space="preserve"> </w:t>
      </w:r>
      <w:r w:rsidR="00A81A21">
        <w:rPr>
          <w:rStyle w:val="FootnoteReference"/>
          <w:rFonts w:ascii="Book Antiqua" w:hAnsi="Book Antiqua"/>
          <w:sz w:val="24"/>
          <w:szCs w:val="24"/>
        </w:rPr>
        <w:footnoteReference w:id="37"/>
      </w:r>
      <w:r w:rsidRPr="0060292A">
        <w:rPr>
          <w:rFonts w:ascii="Book Antiqua" w:hAnsi="Book Antiqua"/>
          <w:sz w:val="24"/>
          <w:szCs w:val="24"/>
        </w:rPr>
        <w:t>. From the investigation it was discovered that they were planning to carry out a suicide bombing. In fact, according to Deputy VII BIN, Wawan Purwanto, suspected terrorists in this action were targets of pursuit by law enforcement officers</w:t>
      </w:r>
      <w:r w:rsidR="00277307">
        <w:rPr>
          <w:rFonts w:ascii="Book Antiqua" w:hAnsi="Book Antiqua"/>
          <w:sz w:val="24"/>
          <w:szCs w:val="24"/>
        </w:rPr>
        <w:t xml:space="preserve"> </w:t>
      </w:r>
      <w:r w:rsidR="00A81A21">
        <w:rPr>
          <w:rStyle w:val="FootnoteReference"/>
          <w:rFonts w:ascii="Book Antiqua" w:hAnsi="Book Antiqua"/>
          <w:sz w:val="24"/>
          <w:szCs w:val="24"/>
        </w:rPr>
        <w:footnoteReference w:id="38"/>
      </w:r>
      <w:r w:rsidR="00277307">
        <w:rPr>
          <w:rFonts w:ascii="Book Antiqua" w:hAnsi="Book Antiqua"/>
          <w:sz w:val="24"/>
          <w:szCs w:val="24"/>
        </w:rPr>
        <w:t>.</w:t>
      </w:r>
      <w:r w:rsidRPr="0060292A">
        <w:rPr>
          <w:rFonts w:ascii="Book Antiqua" w:hAnsi="Book Antiqua"/>
          <w:sz w:val="24"/>
          <w:szCs w:val="24"/>
        </w:rPr>
        <w:t xml:space="preserve"> Intelligence analysts stated that the action that took place at the church took advantage of the moment ahead of Easter as an act of resistance to the authorities who are actively fighting terror networks.</w:t>
      </w:r>
    </w:p>
    <w:p w14:paraId="4F44FEEF" w14:textId="7D30A4DE" w:rsidR="00277307" w:rsidRDefault="00277307" w:rsidP="00277307">
      <w:pPr>
        <w:ind w:left="-144"/>
        <w:jc w:val="both"/>
        <w:rPr>
          <w:rFonts w:ascii="Book Antiqua" w:hAnsi="Book Antiqua"/>
          <w:b/>
          <w:bCs/>
          <w:i/>
          <w:iCs/>
          <w:sz w:val="24"/>
          <w:szCs w:val="24"/>
        </w:rPr>
      </w:pPr>
      <w:r w:rsidRPr="00277307">
        <w:rPr>
          <w:rFonts w:ascii="Book Antiqua" w:hAnsi="Book Antiqua"/>
          <w:b/>
          <w:bCs/>
          <w:i/>
          <w:iCs/>
          <w:sz w:val="24"/>
          <w:szCs w:val="24"/>
        </w:rPr>
        <w:t>The Urgency of Intelligence Collaboration in the Future</w:t>
      </w:r>
    </w:p>
    <w:p w14:paraId="5B08C9CA" w14:textId="2E6A401B" w:rsidR="00277307" w:rsidRPr="00277307" w:rsidRDefault="00277307" w:rsidP="00277307">
      <w:pPr>
        <w:spacing w:after="240"/>
        <w:ind w:left="-142"/>
        <w:jc w:val="both"/>
        <w:rPr>
          <w:rFonts w:ascii="Book Antiqua" w:hAnsi="Book Antiqua"/>
          <w:sz w:val="24"/>
          <w:szCs w:val="24"/>
        </w:rPr>
      </w:pPr>
      <w:r w:rsidRPr="00277307">
        <w:rPr>
          <w:rFonts w:ascii="Book Antiqua" w:hAnsi="Book Antiqua"/>
          <w:sz w:val="24"/>
          <w:szCs w:val="24"/>
        </w:rPr>
        <w:t>Collaboration between various counter-terrorism institutions in Indonesia has been proclaimed for a long time. On 12</w:t>
      </w:r>
      <w:r>
        <w:rPr>
          <w:rFonts w:ascii="Book Antiqua" w:hAnsi="Book Antiqua"/>
          <w:sz w:val="24"/>
          <w:szCs w:val="24"/>
        </w:rPr>
        <w:sym w:font="Symbol" w:char="F0BE"/>
      </w:r>
      <w:r w:rsidRPr="00277307">
        <w:rPr>
          <w:rFonts w:ascii="Book Antiqua" w:hAnsi="Book Antiqua"/>
          <w:sz w:val="24"/>
          <w:szCs w:val="24"/>
        </w:rPr>
        <w:t>17</w:t>
      </w:r>
      <w:r w:rsidRPr="00277307">
        <w:rPr>
          <w:rFonts w:ascii="Book Antiqua" w:hAnsi="Book Antiqua"/>
          <w:sz w:val="24"/>
          <w:szCs w:val="24"/>
          <w:vertAlign w:val="superscript"/>
        </w:rPr>
        <w:t>th</w:t>
      </w:r>
      <w:r w:rsidRPr="00277307">
        <w:rPr>
          <w:rFonts w:ascii="Book Antiqua" w:hAnsi="Book Antiqua"/>
          <w:sz w:val="24"/>
          <w:szCs w:val="24"/>
        </w:rPr>
        <w:t xml:space="preserve"> October 2018, the "Asia-Europe Counter Terrorism Dialogue" discussion was held in Belgium. During the event, the Minister of Defense of the Republic of Indonesia, Ryamizard Ryacudu, appealed to every country to take the initiative to build cooperation to strengthen coordination and collaboration mechanisms in dealing with terrorism through strengthening intelligence cooperation</w:t>
      </w:r>
      <w:r w:rsidR="003E60BA">
        <w:rPr>
          <w:rFonts w:ascii="Book Antiqua" w:hAnsi="Book Antiqua"/>
          <w:sz w:val="24"/>
          <w:szCs w:val="24"/>
        </w:rPr>
        <w:t xml:space="preserve"> </w:t>
      </w:r>
      <w:r w:rsidR="00A81A21">
        <w:rPr>
          <w:rStyle w:val="FootnoteReference"/>
          <w:rFonts w:ascii="Book Antiqua" w:hAnsi="Book Antiqua"/>
          <w:sz w:val="24"/>
          <w:szCs w:val="24"/>
        </w:rPr>
        <w:footnoteReference w:id="39"/>
      </w:r>
      <w:r w:rsidRPr="00277307">
        <w:rPr>
          <w:rFonts w:ascii="Book Antiqua" w:hAnsi="Book Antiqua"/>
          <w:sz w:val="24"/>
          <w:szCs w:val="24"/>
        </w:rPr>
        <w:t>. The Minister of Defense of the Republic of Indonesia stated that the first step of the necessary regional security cooperation embryo architecture is the establishment of a multilateral intelligence exchange framework to detect foreign militant movements, establish training camps, anticipate the spread of propaganda through social media, and detect the flow of funds and logistics of terrorist groups</w:t>
      </w:r>
      <w:r w:rsidR="003E60BA">
        <w:rPr>
          <w:rFonts w:ascii="Book Antiqua" w:hAnsi="Book Antiqua"/>
          <w:sz w:val="24"/>
          <w:szCs w:val="24"/>
        </w:rPr>
        <w:t>.</w:t>
      </w:r>
      <w:r w:rsidRPr="00277307">
        <w:rPr>
          <w:rFonts w:ascii="Book Antiqua" w:hAnsi="Book Antiqua"/>
          <w:sz w:val="24"/>
          <w:szCs w:val="24"/>
        </w:rPr>
        <w:t xml:space="preserve"> At the ASEAN level, on January 25 2018, Indonesia is known to have had Our Eyes intelligence exchange cooperation which is similar to Western countries' Five Eyes.</w:t>
      </w:r>
    </w:p>
    <w:p w14:paraId="7B3232AE" w14:textId="2F0B633A" w:rsidR="00277307" w:rsidRPr="00277307" w:rsidRDefault="00277307" w:rsidP="00277307">
      <w:pPr>
        <w:spacing w:after="240"/>
        <w:ind w:left="-142"/>
        <w:jc w:val="both"/>
        <w:rPr>
          <w:rFonts w:ascii="Book Antiqua" w:hAnsi="Book Antiqua"/>
          <w:sz w:val="24"/>
          <w:szCs w:val="24"/>
        </w:rPr>
      </w:pPr>
      <w:r w:rsidRPr="00277307">
        <w:rPr>
          <w:rFonts w:ascii="Book Antiqua" w:hAnsi="Book Antiqua"/>
          <w:sz w:val="24"/>
          <w:szCs w:val="24"/>
        </w:rPr>
        <w:t>The cooperation carried out by intelligence agencies in the European Union between Europol and Fontex can be used as a good example</w:t>
      </w:r>
      <w:r w:rsidR="003E60BA">
        <w:rPr>
          <w:rFonts w:ascii="Book Antiqua" w:hAnsi="Book Antiqua"/>
          <w:sz w:val="24"/>
          <w:szCs w:val="24"/>
        </w:rPr>
        <w:t xml:space="preserve"> </w:t>
      </w:r>
      <w:r w:rsidR="00A81A21">
        <w:rPr>
          <w:rStyle w:val="FootnoteReference"/>
          <w:rFonts w:ascii="Book Antiqua" w:hAnsi="Book Antiqua"/>
          <w:sz w:val="24"/>
          <w:szCs w:val="24"/>
        </w:rPr>
        <w:footnoteReference w:id="40"/>
      </w:r>
      <w:r w:rsidRPr="00277307">
        <w:rPr>
          <w:rFonts w:ascii="Book Antiqua" w:hAnsi="Book Antiqua"/>
          <w:sz w:val="24"/>
          <w:szCs w:val="24"/>
        </w:rPr>
        <w:t>. Europolplay a major role in the development of reliable intelligence exchange methods and instruments, on serious and organized crime</w:t>
      </w:r>
      <w:r w:rsidR="003E60BA">
        <w:rPr>
          <w:rFonts w:ascii="Book Antiqua" w:hAnsi="Book Antiqua"/>
          <w:sz w:val="24"/>
          <w:szCs w:val="24"/>
        </w:rPr>
        <w:t xml:space="preserve"> </w:t>
      </w:r>
      <w:r w:rsidR="00A81A21">
        <w:rPr>
          <w:rStyle w:val="FootnoteReference"/>
          <w:rFonts w:ascii="Book Antiqua" w:hAnsi="Book Antiqua"/>
          <w:sz w:val="24"/>
          <w:szCs w:val="24"/>
        </w:rPr>
        <w:footnoteReference w:id="41"/>
      </w:r>
      <w:r w:rsidRPr="00277307">
        <w:rPr>
          <w:rFonts w:ascii="Book Antiqua" w:hAnsi="Book Antiqua"/>
          <w:sz w:val="24"/>
          <w:szCs w:val="24"/>
        </w:rPr>
        <w:t>.</w:t>
      </w:r>
      <w:r w:rsidR="003E60BA">
        <w:rPr>
          <w:rFonts w:ascii="Book Antiqua" w:hAnsi="Book Antiqua"/>
          <w:sz w:val="24"/>
          <w:szCs w:val="24"/>
        </w:rPr>
        <w:t xml:space="preserve"> </w:t>
      </w:r>
      <w:r w:rsidRPr="00277307">
        <w:rPr>
          <w:rFonts w:ascii="Book Antiqua" w:hAnsi="Book Antiqua"/>
          <w:sz w:val="24"/>
          <w:szCs w:val="24"/>
        </w:rPr>
        <w:t>Together with the European Police Chiefs Convention and the Counter Terrorism Working Group, Europol assesses the threat of terrorism to be diverse.</w:t>
      </w:r>
      <w:r w:rsidR="003E60BA">
        <w:rPr>
          <w:rFonts w:ascii="Book Antiqua" w:hAnsi="Book Antiqua"/>
          <w:sz w:val="24"/>
          <w:szCs w:val="24"/>
        </w:rPr>
        <w:t xml:space="preserve">  </w:t>
      </w:r>
      <w:r w:rsidRPr="00277307">
        <w:rPr>
          <w:rFonts w:ascii="Book Antiqua" w:hAnsi="Book Antiqua"/>
          <w:sz w:val="24"/>
          <w:szCs w:val="24"/>
        </w:rPr>
        <w:t>Meanwhile, Frontex is responsible for information exchange and surveillance on European residents</w:t>
      </w:r>
      <w:r w:rsidR="00986CAD">
        <w:rPr>
          <w:rFonts w:ascii="Book Antiqua" w:hAnsi="Book Antiqua"/>
          <w:sz w:val="24"/>
          <w:szCs w:val="24"/>
        </w:rPr>
        <w:t xml:space="preserve"> </w:t>
      </w:r>
      <w:r w:rsidR="00A81A21">
        <w:rPr>
          <w:rStyle w:val="FootnoteReference"/>
          <w:rFonts w:ascii="Book Antiqua" w:hAnsi="Book Antiqua"/>
          <w:sz w:val="24"/>
          <w:szCs w:val="24"/>
        </w:rPr>
        <w:footnoteReference w:id="42"/>
      </w:r>
      <w:r w:rsidRPr="00277307">
        <w:rPr>
          <w:rFonts w:ascii="Book Antiqua" w:hAnsi="Book Antiqua"/>
          <w:sz w:val="24"/>
          <w:szCs w:val="24"/>
        </w:rPr>
        <w:t>. This cooperation has proven to prevent acts of terrorism that occurred in Europe.</w:t>
      </w:r>
    </w:p>
    <w:p w14:paraId="4FCF376B" w14:textId="62EA79AA" w:rsidR="00277307" w:rsidRPr="00277307" w:rsidRDefault="00277307" w:rsidP="00277307">
      <w:pPr>
        <w:spacing w:after="240"/>
        <w:ind w:left="-142"/>
        <w:jc w:val="both"/>
        <w:rPr>
          <w:rFonts w:ascii="Book Antiqua" w:hAnsi="Book Antiqua"/>
          <w:sz w:val="24"/>
          <w:szCs w:val="24"/>
        </w:rPr>
      </w:pPr>
      <w:r w:rsidRPr="00277307">
        <w:rPr>
          <w:rFonts w:ascii="Book Antiqua" w:hAnsi="Book Antiqua"/>
          <w:sz w:val="24"/>
          <w:szCs w:val="24"/>
        </w:rPr>
        <w:t>The Indonesian government also needs to involve civil and community organizations, academics, and the private sector to prevent and fight terrorism. This appeal was conveyed because these actors have proven to be creative and effective in making initiatives to fight counter-terrorism and promoting moderation</w:t>
      </w:r>
      <w:r w:rsidR="00986CAD">
        <w:rPr>
          <w:rFonts w:ascii="Book Antiqua" w:hAnsi="Book Antiqua"/>
          <w:sz w:val="24"/>
          <w:szCs w:val="24"/>
        </w:rPr>
        <w:t xml:space="preserve"> </w:t>
      </w:r>
      <w:r w:rsidR="00A81A21">
        <w:rPr>
          <w:rStyle w:val="FootnoteReference"/>
          <w:rFonts w:ascii="Book Antiqua" w:hAnsi="Book Antiqua"/>
          <w:sz w:val="24"/>
          <w:szCs w:val="24"/>
        </w:rPr>
        <w:footnoteReference w:id="43"/>
      </w:r>
      <w:r w:rsidRPr="00277307">
        <w:rPr>
          <w:rFonts w:ascii="Book Antiqua" w:hAnsi="Book Antiqua"/>
          <w:sz w:val="24"/>
          <w:szCs w:val="24"/>
        </w:rPr>
        <w:t>. This cooperation is needed because even though the government is capable of leading and coordinating, civil and societal actors have broader outreach to their communities.</w:t>
      </w:r>
    </w:p>
    <w:p w14:paraId="63DF895A" w14:textId="77777777" w:rsidR="00B56D4F" w:rsidRPr="00B56D4F" w:rsidRDefault="00B56D4F" w:rsidP="00B56D4F">
      <w:pPr>
        <w:pStyle w:val="NormalWeb"/>
        <w:shd w:val="clear" w:color="auto" w:fill="FFFFFF"/>
        <w:spacing w:before="0" w:beforeAutospacing="0" w:after="0" w:afterAutospacing="0"/>
        <w:rPr>
          <w:rFonts w:ascii="Book Antiqua" w:hAnsi="Book Antiqua" w:cs="Tahoma"/>
        </w:rPr>
      </w:pPr>
    </w:p>
    <w:p w14:paraId="385CFB64" w14:textId="6D3877CF" w:rsidR="00B56D4F" w:rsidRPr="00B56D4F" w:rsidRDefault="00B56D4F" w:rsidP="00B56D4F">
      <w:pPr>
        <w:pStyle w:val="Heading1"/>
        <w:jc w:val="left"/>
        <w:rPr>
          <w:rFonts w:ascii="Book Antiqua" w:hAnsi="Book Antiqua"/>
          <w:sz w:val="24"/>
          <w:szCs w:val="24"/>
        </w:rPr>
      </w:pPr>
      <w:r>
        <w:rPr>
          <w:rFonts w:ascii="Book Antiqua" w:hAnsi="Book Antiqua"/>
          <w:sz w:val="24"/>
          <w:szCs w:val="24"/>
          <w:lang w:val="id-ID"/>
        </w:rPr>
        <w:t xml:space="preserve">4. </w:t>
      </w:r>
      <w:r w:rsidRPr="00B56D4F">
        <w:rPr>
          <w:rFonts w:ascii="Book Antiqua" w:hAnsi="Book Antiqua"/>
          <w:sz w:val="24"/>
          <w:szCs w:val="24"/>
        </w:rPr>
        <w:t>Conclusion</w:t>
      </w:r>
      <w:r w:rsidRPr="00B56D4F">
        <w:rPr>
          <w:rFonts w:ascii="Book Antiqua" w:hAnsi="Book Antiqua"/>
          <w:sz w:val="24"/>
          <w:szCs w:val="24"/>
          <w:lang w:val="id-ID"/>
        </w:rPr>
        <w:t xml:space="preserve"> </w:t>
      </w:r>
    </w:p>
    <w:p w14:paraId="7CD0D87D" w14:textId="78FF1794" w:rsidR="00F3249C" w:rsidRPr="00F3249C" w:rsidRDefault="00F3249C" w:rsidP="00F3249C">
      <w:pPr>
        <w:pStyle w:val="BodyText"/>
        <w:jc w:val="both"/>
        <w:rPr>
          <w:rFonts w:ascii="Book Antiqua" w:hAnsi="Book Antiqua"/>
          <w:sz w:val="24"/>
          <w:szCs w:val="24"/>
        </w:rPr>
      </w:pPr>
      <w:r w:rsidRPr="00F3249C">
        <w:rPr>
          <w:rFonts w:ascii="Book Antiqua" w:hAnsi="Book Antiqua"/>
          <w:sz w:val="24"/>
          <w:szCs w:val="24"/>
        </w:rPr>
        <w:t>It is undeniable that a country's intelligence agency plays a central role in state counter-terrorism efforts. The role of intelligence in the context of counter-terrorism has a broad spectrum because policy makers have a need for intelligence information that is adapted to the context and in a timely manner so that it can provide a rationale, context, information, warnings, risk assessment, benefits and possible outcomes of a counter-terrorism policy. In its efforts to identify and prevent potential terrorist attacks, intelligence agencies carry out at least 3 (three) basic pillars of intelligence functions, namely investigation, security and mobilization. From the 3 (three) cases of terrorism attacks in Indonesia that have been described above, it appears that BIN as the main executor of the intelligence function in Indonesia has carried out a series of investigative and fundraising operations in order to secure an area from conflict escalation as well as from potential terrorist attacks.</w:t>
      </w:r>
    </w:p>
    <w:p w14:paraId="427D6632" w14:textId="584C94AB" w:rsidR="00B56D4F" w:rsidRDefault="00B56D4F" w:rsidP="00B56D4F">
      <w:pPr>
        <w:pStyle w:val="Heading1"/>
        <w:rPr>
          <w:rFonts w:ascii="Book Antiqua" w:hAnsi="Book Antiqua"/>
          <w:sz w:val="24"/>
          <w:szCs w:val="24"/>
          <w:lang w:val="id-ID"/>
        </w:rPr>
      </w:pPr>
      <w:r w:rsidRPr="00B56D4F">
        <w:rPr>
          <w:rFonts w:ascii="Book Antiqua" w:hAnsi="Book Antiqua"/>
          <w:sz w:val="24"/>
          <w:szCs w:val="24"/>
          <w:lang w:val="id-ID"/>
        </w:rPr>
        <w:t xml:space="preserve">Refrences </w:t>
      </w:r>
    </w:p>
    <w:bookmarkStart w:id="3" w:name="_GoBack"/>
    <w:p w14:paraId="014A9602" w14:textId="01A64E9E" w:rsidR="00A81A21" w:rsidRPr="00A81A21" w:rsidRDefault="009350FD" w:rsidP="00A71F3C">
      <w:pPr>
        <w:widowControl w:val="0"/>
        <w:autoSpaceDE w:val="0"/>
        <w:autoSpaceDN w:val="0"/>
        <w:adjustRightInd w:val="0"/>
        <w:ind w:left="480" w:hanging="480"/>
        <w:jc w:val="both"/>
        <w:rPr>
          <w:rFonts w:ascii="Book Antiqua" w:hAnsi="Book Antiqua"/>
          <w:noProof/>
          <w:sz w:val="24"/>
          <w:szCs w:val="24"/>
        </w:rPr>
      </w:pPr>
      <w:r>
        <w:rPr>
          <w:rFonts w:ascii="Book Antiqua" w:hAnsi="Book Antiqua"/>
          <w:b/>
          <w:bCs/>
          <w:sz w:val="24"/>
          <w:szCs w:val="24"/>
          <w:lang w:val="id-ID"/>
        </w:rPr>
        <w:fldChar w:fldCharType="begin" w:fldLock="1"/>
      </w:r>
      <w:r>
        <w:rPr>
          <w:rFonts w:ascii="Book Antiqua" w:hAnsi="Book Antiqua"/>
          <w:b/>
          <w:bCs/>
          <w:sz w:val="24"/>
          <w:szCs w:val="24"/>
          <w:lang w:val="id-ID"/>
        </w:rPr>
        <w:instrText xml:space="preserve">ADDIN Mendeley Bibliography CSL_BIBLIOGRAPHY </w:instrText>
      </w:r>
      <w:r>
        <w:rPr>
          <w:rFonts w:ascii="Book Antiqua" w:hAnsi="Book Antiqua"/>
          <w:b/>
          <w:bCs/>
          <w:sz w:val="24"/>
          <w:szCs w:val="24"/>
          <w:lang w:val="id-ID"/>
        </w:rPr>
        <w:fldChar w:fldCharType="separate"/>
      </w:r>
      <w:r w:rsidR="00A81A21" w:rsidRPr="00A81A21">
        <w:rPr>
          <w:rFonts w:ascii="Book Antiqua" w:hAnsi="Book Antiqua"/>
          <w:noProof/>
          <w:sz w:val="24"/>
          <w:szCs w:val="24"/>
        </w:rPr>
        <w:t xml:space="preserve">Agranoff, Robert., </w:t>
      </w:r>
      <w:r w:rsidR="00A81A21" w:rsidRPr="00A81A21">
        <w:rPr>
          <w:rFonts w:ascii="Book Antiqua" w:hAnsi="Book Antiqua"/>
          <w:i/>
          <w:iCs/>
          <w:noProof/>
          <w:sz w:val="24"/>
          <w:szCs w:val="24"/>
        </w:rPr>
        <w:t>Managing within Networks: Adding Value to Public Organizations</w:t>
      </w:r>
      <w:r w:rsidR="00A81A21" w:rsidRPr="00A81A21">
        <w:rPr>
          <w:rFonts w:ascii="Book Antiqua" w:hAnsi="Book Antiqua"/>
          <w:noProof/>
          <w:sz w:val="24"/>
          <w:szCs w:val="24"/>
        </w:rPr>
        <w:t xml:space="preserve"> (Georgetown University Press, 2007)</w:t>
      </w:r>
    </w:p>
    <w:p w14:paraId="25697703"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Bachtiarudin Alam, ‘UU No. 17 Tahun 2011 Tentang Intelijen Negara [JDIH BPK RI]’, </w:t>
      </w:r>
      <w:r w:rsidRPr="00A81A21">
        <w:rPr>
          <w:rFonts w:ascii="Book Antiqua" w:hAnsi="Book Antiqua"/>
          <w:i/>
          <w:iCs/>
          <w:noProof/>
          <w:sz w:val="24"/>
          <w:szCs w:val="24"/>
        </w:rPr>
        <w:t>Merdeka.Com</w:t>
      </w:r>
      <w:r w:rsidRPr="00A81A21">
        <w:rPr>
          <w:rFonts w:ascii="Book Antiqua" w:hAnsi="Book Antiqua"/>
          <w:noProof/>
          <w:sz w:val="24"/>
          <w:szCs w:val="24"/>
        </w:rPr>
        <w:t>, 2021</w:t>
      </w:r>
    </w:p>
    <w:p w14:paraId="5A076EFA"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Bahtiar, Andhi, Agus Purwadianto, and Vishnu Juwono, ‘Analisa Kewenangan Badan Intelijen Negara (BIN) Dalam Penanganan Pandemi Covid-19’, </w:t>
      </w:r>
      <w:r w:rsidRPr="00A81A21">
        <w:rPr>
          <w:rFonts w:ascii="Book Antiqua" w:hAnsi="Book Antiqua"/>
          <w:i/>
          <w:iCs/>
          <w:noProof/>
          <w:sz w:val="24"/>
          <w:szCs w:val="24"/>
        </w:rPr>
        <w:t>JIIP: Jurnal Ilmiah Ilmu Pemerintahan</w:t>
      </w:r>
      <w:r w:rsidRPr="00A81A21">
        <w:rPr>
          <w:rFonts w:ascii="Book Antiqua" w:hAnsi="Book Antiqua"/>
          <w:noProof/>
          <w:sz w:val="24"/>
          <w:szCs w:val="24"/>
        </w:rPr>
        <w:t>, 6.2 (2021) &lt;https://doi.org/10.14710/jiip.v6i2.11475&gt;</w:t>
      </w:r>
    </w:p>
    <w:p w14:paraId="6A395DB3"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Bernardi, Beatrice, ‘The Role of Intelligence in the Fight Against International Terrorism: Legal Profiles’ (Università Ca’Foscari Venezia, 2013)</w:t>
      </w:r>
    </w:p>
    <w:p w14:paraId="35CC7B56"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Den Boer, Monica, ‘Counter-Terrorism, Security and Intelligence in the EU: Governance Challenges for Collection, Exchange and Analysis’, </w:t>
      </w:r>
      <w:r w:rsidRPr="00A81A21">
        <w:rPr>
          <w:rFonts w:ascii="Book Antiqua" w:hAnsi="Book Antiqua"/>
          <w:i/>
          <w:iCs/>
          <w:noProof/>
          <w:sz w:val="24"/>
          <w:szCs w:val="24"/>
        </w:rPr>
        <w:t>Intelligence and National Security</w:t>
      </w:r>
      <w:r w:rsidRPr="00A81A21">
        <w:rPr>
          <w:rFonts w:ascii="Book Antiqua" w:hAnsi="Book Antiqua"/>
          <w:noProof/>
          <w:sz w:val="24"/>
          <w:szCs w:val="24"/>
        </w:rPr>
        <w:t>, 30 (2015), 402–19 &lt;https://doi.org/10.1080/02684527.2014.988444&gt;</w:t>
      </w:r>
    </w:p>
    <w:p w14:paraId="00A46DE2"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Byman, Daniel, ‘The Intelligence War on Terrorism’, </w:t>
      </w:r>
      <w:r w:rsidRPr="00A81A21">
        <w:rPr>
          <w:rFonts w:ascii="Book Antiqua" w:hAnsi="Book Antiqua"/>
          <w:i/>
          <w:iCs/>
          <w:noProof/>
          <w:sz w:val="24"/>
          <w:szCs w:val="24"/>
        </w:rPr>
        <w:t>Intelligence and National Security</w:t>
      </w:r>
      <w:r w:rsidRPr="00A81A21">
        <w:rPr>
          <w:rFonts w:ascii="Book Antiqua" w:hAnsi="Book Antiqua"/>
          <w:noProof/>
          <w:sz w:val="24"/>
          <w:szCs w:val="24"/>
        </w:rPr>
        <w:t>, 29.6 (2014), 837–63 &lt;https://doi.org/10.1080/02684527.2013.851876&gt;</w:t>
      </w:r>
    </w:p>
    <w:p w14:paraId="3F183033"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Carter, Jeremy G, and Scott W Phillips, ‘Intelligence-Led Policing and Forces of Organisational Change in the USA’, </w:t>
      </w:r>
      <w:r w:rsidRPr="00A81A21">
        <w:rPr>
          <w:rFonts w:ascii="Book Antiqua" w:hAnsi="Book Antiqua"/>
          <w:i/>
          <w:iCs/>
          <w:noProof/>
          <w:sz w:val="24"/>
          <w:szCs w:val="24"/>
        </w:rPr>
        <w:t>Policing and Society</w:t>
      </w:r>
      <w:r w:rsidRPr="00A81A21">
        <w:rPr>
          <w:rFonts w:ascii="Book Antiqua" w:hAnsi="Book Antiqua"/>
          <w:noProof/>
          <w:sz w:val="24"/>
          <w:szCs w:val="24"/>
        </w:rPr>
        <w:t>, 25.4 (2015), 333–57</w:t>
      </w:r>
    </w:p>
    <w:p w14:paraId="1DFDD7BE"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CNN, ‘Dua Tentara Turki Tewas Dalam Serangan Teror Di Suriah’, </w:t>
      </w:r>
      <w:r w:rsidRPr="00A81A21">
        <w:rPr>
          <w:rFonts w:ascii="Book Antiqua" w:hAnsi="Book Antiqua"/>
          <w:i/>
          <w:iCs/>
          <w:noProof/>
          <w:sz w:val="24"/>
          <w:szCs w:val="24"/>
        </w:rPr>
        <w:t>CNN Indonesia</w:t>
      </w:r>
      <w:r w:rsidRPr="00A81A21">
        <w:rPr>
          <w:rFonts w:ascii="Book Antiqua" w:hAnsi="Book Antiqua"/>
          <w:noProof/>
          <w:sz w:val="24"/>
          <w:szCs w:val="24"/>
        </w:rPr>
        <w:t>, 2021</w:t>
      </w:r>
    </w:p>
    <w:p w14:paraId="2E4A5058"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 ‘Jejak Panjang Konflik Di Poso’, </w:t>
      </w:r>
      <w:r w:rsidRPr="00A81A21">
        <w:rPr>
          <w:rFonts w:ascii="Book Antiqua" w:hAnsi="Book Antiqua"/>
          <w:i/>
          <w:iCs/>
          <w:noProof/>
          <w:sz w:val="24"/>
          <w:szCs w:val="24"/>
        </w:rPr>
        <w:t>CNN Indonesia</w:t>
      </w:r>
      <w:r w:rsidRPr="00A81A21">
        <w:rPr>
          <w:rFonts w:ascii="Book Antiqua" w:hAnsi="Book Antiqua"/>
          <w:noProof/>
          <w:sz w:val="24"/>
          <w:szCs w:val="24"/>
        </w:rPr>
        <w:t>, 2020</w:t>
      </w:r>
    </w:p>
    <w:p w14:paraId="73F8FBE9"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Defianti, Ika, ‘BIN Ungkap Sempat Kejar Pelaku Bom Bunuh Diri Di Depan Gereja Katedral Makassar | Merdeka.Com’, 2021</w:t>
      </w:r>
    </w:p>
    <w:p w14:paraId="31E4FF79"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Downs, Anthony, </w:t>
      </w:r>
      <w:r w:rsidRPr="00A81A21">
        <w:rPr>
          <w:rFonts w:ascii="Book Antiqua" w:hAnsi="Book Antiqua"/>
          <w:i/>
          <w:iCs/>
          <w:noProof/>
          <w:sz w:val="24"/>
          <w:szCs w:val="24"/>
        </w:rPr>
        <w:t>Bureaucratic Structure and Decision-Making</w:t>
      </w:r>
      <w:r w:rsidRPr="00A81A21">
        <w:rPr>
          <w:rFonts w:ascii="Book Antiqua" w:hAnsi="Book Antiqua"/>
          <w:noProof/>
          <w:sz w:val="24"/>
          <w:szCs w:val="24"/>
        </w:rPr>
        <w:t xml:space="preserve"> (Rand Corporation Santa Monica, CA, 1966)</w:t>
      </w:r>
    </w:p>
    <w:p w14:paraId="3929991A"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DW, ‘Suicide Bombing Rocks Indonesian Church – DW – 03/28/2021’</w:t>
      </w:r>
    </w:p>
    <w:p w14:paraId="0BE3539D"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Dwi Andayani, ‘Conceptualising Terrorism Trend Patterns in Pakistan - an Empirical Perspective on JSTOR’, </w:t>
      </w:r>
      <w:r w:rsidRPr="00A81A21">
        <w:rPr>
          <w:rFonts w:ascii="Book Antiqua" w:hAnsi="Book Antiqua"/>
          <w:i/>
          <w:iCs/>
          <w:noProof/>
          <w:sz w:val="24"/>
          <w:szCs w:val="24"/>
        </w:rPr>
        <w:t>Detik News</w:t>
      </w:r>
      <w:r w:rsidRPr="00A81A21">
        <w:rPr>
          <w:rFonts w:ascii="Book Antiqua" w:hAnsi="Book Antiqua"/>
          <w:noProof/>
          <w:sz w:val="24"/>
          <w:szCs w:val="24"/>
        </w:rPr>
        <w:t>, 2021</w:t>
      </w:r>
    </w:p>
    <w:p w14:paraId="2B0B675B"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Gaub, Florence, ‘Trends in Terrorism’, </w:t>
      </w:r>
      <w:r w:rsidRPr="00A81A21">
        <w:rPr>
          <w:rFonts w:ascii="Book Antiqua" w:hAnsi="Book Antiqua"/>
          <w:i/>
          <w:iCs/>
          <w:noProof/>
          <w:sz w:val="24"/>
          <w:szCs w:val="24"/>
        </w:rPr>
        <w:t>European Union Institute for Security Studies (EUISS)</w:t>
      </w:r>
      <w:r w:rsidRPr="00A81A21">
        <w:rPr>
          <w:rFonts w:ascii="Book Antiqua" w:hAnsi="Book Antiqua"/>
          <w:noProof/>
          <w:sz w:val="24"/>
          <w:szCs w:val="24"/>
        </w:rPr>
        <w:t>, 2017, pp. 218–23 &lt;https://doi.org/10.1142/9789812799647_0030&gt;</w:t>
      </w:r>
    </w:p>
    <w:p w14:paraId="6F88E62C"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Gayatri, Erin, and Kustini Kosasih, ‘Break the Chain of Terrorism Through Deradicalization of (Former) Terrorists’ Children: Narration From Al-Hidayah Pesantren, Medan’, </w:t>
      </w:r>
      <w:r w:rsidRPr="00A81A21">
        <w:rPr>
          <w:rFonts w:ascii="Book Antiqua" w:hAnsi="Book Antiqua"/>
          <w:i/>
          <w:iCs/>
          <w:noProof/>
          <w:sz w:val="24"/>
          <w:szCs w:val="24"/>
        </w:rPr>
        <w:t>Analisa: Journal of Social Science and Religion</w:t>
      </w:r>
      <w:r w:rsidRPr="00A81A21">
        <w:rPr>
          <w:rFonts w:ascii="Book Antiqua" w:hAnsi="Book Antiqua"/>
          <w:noProof/>
          <w:sz w:val="24"/>
          <w:szCs w:val="24"/>
        </w:rPr>
        <w:t>, 4.01 (2019), 79–96 &lt;https://doi.org/10.18784/analisa.v4i01.792&gt;</w:t>
      </w:r>
    </w:p>
    <w:p w14:paraId="71F31733"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Gregory, Frank, ‘Intelligence Led Counter-Terrorism: A Brief Analysis of the UK Domestic Intelligence System’s Response to 9/11 and the Implications of the London Bombings of 7 July 2005’, </w:t>
      </w:r>
      <w:r w:rsidRPr="00A81A21">
        <w:rPr>
          <w:rFonts w:ascii="Book Antiqua" w:hAnsi="Book Antiqua"/>
          <w:i/>
          <w:iCs/>
          <w:noProof/>
          <w:sz w:val="24"/>
          <w:szCs w:val="24"/>
        </w:rPr>
        <w:t>Real Instituto Elcano</w:t>
      </w:r>
      <w:r w:rsidRPr="00A81A21">
        <w:rPr>
          <w:rFonts w:ascii="Book Antiqua" w:hAnsi="Book Antiqua"/>
          <w:noProof/>
          <w:sz w:val="24"/>
          <w:szCs w:val="24"/>
        </w:rPr>
        <w:t>, 94 (2005), 12</w:t>
      </w:r>
    </w:p>
    <w:p w14:paraId="15CDEB0D"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Gunaratna, Rohan, </w:t>
      </w:r>
      <w:r w:rsidRPr="00A81A21">
        <w:rPr>
          <w:rFonts w:ascii="Book Antiqua" w:hAnsi="Book Antiqua"/>
          <w:i/>
          <w:iCs/>
          <w:noProof/>
          <w:sz w:val="24"/>
          <w:szCs w:val="24"/>
        </w:rPr>
        <w:t>Counter-Terrorism in Asia: The State Partnership with Civil Society Organizations</w:t>
      </w:r>
      <w:r w:rsidRPr="00A81A21">
        <w:rPr>
          <w:rFonts w:ascii="Book Antiqua" w:hAnsi="Book Antiqua"/>
          <w:noProof/>
          <w:sz w:val="24"/>
          <w:szCs w:val="24"/>
        </w:rPr>
        <w:t xml:space="preserve">, </w:t>
      </w:r>
      <w:r w:rsidRPr="00A81A21">
        <w:rPr>
          <w:rFonts w:ascii="Book Antiqua" w:hAnsi="Book Antiqua"/>
          <w:i/>
          <w:iCs/>
          <w:noProof/>
          <w:sz w:val="24"/>
          <w:szCs w:val="24"/>
        </w:rPr>
        <w:t>Civil Society Organizations Against Terrorism: Case Studies from Asia</w:t>
      </w:r>
      <w:r w:rsidRPr="00A81A21">
        <w:rPr>
          <w:rFonts w:ascii="Book Antiqua" w:hAnsi="Book Antiqua"/>
          <w:noProof/>
          <w:sz w:val="24"/>
          <w:szCs w:val="24"/>
        </w:rPr>
        <w:t xml:space="preserve"> (Taylor and Francis, 2021) &lt;https://doi.org/10.4324/9781003150145-2/COUNTER-TERRORISM-ASIA-ROHAN-GUNARATNA&gt;</w:t>
      </w:r>
    </w:p>
    <w:p w14:paraId="17BF1E61"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Hakim, Syaiful, ‘Menhan Tekankan Pentingnya Kerja Sama Intelijen Dalam Kontra Terorisme - ANTARA News’, </w:t>
      </w:r>
      <w:r w:rsidRPr="00A81A21">
        <w:rPr>
          <w:rFonts w:ascii="Book Antiqua" w:hAnsi="Book Antiqua"/>
          <w:i/>
          <w:iCs/>
          <w:noProof/>
          <w:sz w:val="24"/>
          <w:szCs w:val="24"/>
        </w:rPr>
        <w:t>Antara News</w:t>
      </w:r>
      <w:r w:rsidRPr="00A81A21">
        <w:rPr>
          <w:rFonts w:ascii="Book Antiqua" w:hAnsi="Book Antiqua"/>
          <w:noProof/>
          <w:sz w:val="24"/>
          <w:szCs w:val="24"/>
        </w:rPr>
        <w:t>, 2018</w:t>
      </w:r>
    </w:p>
    <w:p w14:paraId="19FD1BC0"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Hermawan, Bayu, ‘Densus 88 Tangkap Seorang Terduga Teroris Di Makassar | Republika Online’, </w:t>
      </w:r>
      <w:r w:rsidRPr="00A81A21">
        <w:rPr>
          <w:rFonts w:ascii="Book Antiqua" w:hAnsi="Book Antiqua"/>
          <w:i/>
          <w:iCs/>
          <w:noProof/>
          <w:sz w:val="24"/>
          <w:szCs w:val="24"/>
        </w:rPr>
        <w:t>Republika</w:t>
      </w:r>
      <w:r w:rsidRPr="00A81A21">
        <w:rPr>
          <w:rFonts w:ascii="Book Antiqua" w:hAnsi="Book Antiqua"/>
          <w:noProof/>
          <w:sz w:val="24"/>
          <w:szCs w:val="24"/>
        </w:rPr>
        <w:t>, 2021</w:t>
      </w:r>
    </w:p>
    <w:p w14:paraId="1E1E442F"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Humayun, Mamoona, Mahmood Niazi, Nz Jhanjhi, Mohammad Alshayeb, and Sajjad Mahmood, ‘Cyber Security Threats and Vulnerabilities: A Systematic Mapping Study’, </w:t>
      </w:r>
      <w:r w:rsidRPr="00A81A21">
        <w:rPr>
          <w:rFonts w:ascii="Book Antiqua" w:hAnsi="Book Antiqua"/>
          <w:i/>
          <w:iCs/>
          <w:noProof/>
          <w:sz w:val="24"/>
          <w:szCs w:val="24"/>
        </w:rPr>
        <w:t>Arabian Journal for Science and Engineering</w:t>
      </w:r>
      <w:r w:rsidRPr="00A81A21">
        <w:rPr>
          <w:rFonts w:ascii="Book Antiqua" w:hAnsi="Book Antiqua"/>
          <w:noProof/>
          <w:sz w:val="24"/>
          <w:szCs w:val="24"/>
        </w:rPr>
        <w:t>, 45.4 (2020), 3171–89 &lt;https://doi.org/10.1007/S13369-019-04319-2/METRICS&gt;</w:t>
      </w:r>
    </w:p>
    <w:p w14:paraId="0A2A71BB"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Indrawan, Angga, ‘DPR Didesak Perkuat Peran Intelijen | Republika Online’, </w:t>
      </w:r>
      <w:r w:rsidRPr="00A81A21">
        <w:rPr>
          <w:rFonts w:ascii="Book Antiqua" w:hAnsi="Book Antiqua"/>
          <w:i/>
          <w:iCs/>
          <w:noProof/>
          <w:sz w:val="24"/>
          <w:szCs w:val="24"/>
        </w:rPr>
        <w:t>Republika</w:t>
      </w:r>
      <w:r w:rsidRPr="00A81A21">
        <w:rPr>
          <w:rFonts w:ascii="Book Antiqua" w:hAnsi="Book Antiqua"/>
          <w:noProof/>
          <w:sz w:val="24"/>
          <w:szCs w:val="24"/>
        </w:rPr>
        <w:t>, 2016</w:t>
      </w:r>
    </w:p>
    <w:p w14:paraId="1959BE52"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Komariah, Mamay, ‘Kajian Tindak Pidana Terorisme Dalam Perpektif Hukum Pidana Internasional’, </w:t>
      </w:r>
      <w:r w:rsidRPr="00A81A21">
        <w:rPr>
          <w:rFonts w:ascii="Book Antiqua" w:hAnsi="Book Antiqua"/>
          <w:i/>
          <w:iCs/>
          <w:noProof/>
          <w:sz w:val="24"/>
          <w:szCs w:val="24"/>
        </w:rPr>
        <w:t>Jurnal Ilmiah Galuh Justisi</w:t>
      </w:r>
      <w:r w:rsidRPr="00A81A21">
        <w:rPr>
          <w:rFonts w:ascii="Book Antiqua" w:hAnsi="Book Antiqua"/>
          <w:noProof/>
          <w:sz w:val="24"/>
          <w:szCs w:val="24"/>
        </w:rPr>
        <w:t>, 5.1 (2017), 97–112 &lt;https://doi.org/10.25157/JIGJ.V5I1.281&gt;</w:t>
      </w:r>
    </w:p>
    <w:p w14:paraId="22E709C9"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Laksmi, Sylvia Windya, ‘Nexus between Charities and Terrorist Financing In Indonesia on JSTOR’, </w:t>
      </w:r>
      <w:r w:rsidRPr="00A81A21">
        <w:rPr>
          <w:rFonts w:ascii="Book Antiqua" w:hAnsi="Book Antiqua"/>
          <w:i/>
          <w:iCs/>
          <w:noProof/>
          <w:sz w:val="24"/>
          <w:szCs w:val="24"/>
        </w:rPr>
        <w:t>Counter Terrorist Trends and Analysis</w:t>
      </w:r>
      <w:r w:rsidRPr="00A81A21">
        <w:rPr>
          <w:rFonts w:ascii="Book Antiqua" w:hAnsi="Book Antiqua"/>
          <w:noProof/>
          <w:sz w:val="24"/>
          <w:szCs w:val="24"/>
        </w:rPr>
        <w:t>, 11.7 (2019)</w:t>
      </w:r>
    </w:p>
    <w:p w14:paraId="146F2E20"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Lentzos, Filippa, Michael S. Goodman, and James M. Wilson, ‘Health Security Intelligence: Engaging across Disciplines and Sectors’, </w:t>
      </w:r>
      <w:r w:rsidRPr="00A81A21">
        <w:rPr>
          <w:rFonts w:ascii="Book Antiqua" w:hAnsi="Book Antiqua"/>
          <w:i/>
          <w:iCs/>
          <w:noProof/>
          <w:sz w:val="24"/>
          <w:szCs w:val="24"/>
        </w:rPr>
        <w:t>Intelligence and National Security</w:t>
      </w:r>
      <w:r w:rsidRPr="00A81A21">
        <w:rPr>
          <w:rFonts w:ascii="Book Antiqua" w:hAnsi="Book Antiqua"/>
          <w:noProof/>
          <w:sz w:val="24"/>
          <w:szCs w:val="24"/>
        </w:rPr>
        <w:t>, 35.4 (2020), 465–76 &lt;https://doi.org/10.1080/02684527.2020.1750166&gt;</w:t>
      </w:r>
    </w:p>
    <w:p w14:paraId="08494DC2"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Liputan 6, ‘BIN: Pelaku Kerusuhan Poso Adalah Pemain Lama’, </w:t>
      </w:r>
      <w:r w:rsidRPr="00A81A21">
        <w:rPr>
          <w:rFonts w:ascii="Book Antiqua" w:hAnsi="Book Antiqua"/>
          <w:i/>
          <w:iCs/>
          <w:noProof/>
          <w:sz w:val="24"/>
          <w:szCs w:val="24"/>
        </w:rPr>
        <w:t>Liputan 6</w:t>
      </w:r>
      <w:r w:rsidRPr="00A81A21">
        <w:rPr>
          <w:rFonts w:ascii="Book Antiqua" w:hAnsi="Book Antiqua"/>
          <w:noProof/>
          <w:sz w:val="24"/>
          <w:szCs w:val="24"/>
        </w:rPr>
        <w:t>, 2003</w:t>
      </w:r>
    </w:p>
    <w:p w14:paraId="7F38AD91"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McConaghy, Kieran, ‘Intra-State Cooperation and Competition on Counterterrorism’, </w:t>
      </w:r>
      <w:r w:rsidRPr="00A81A21">
        <w:rPr>
          <w:rFonts w:ascii="Book Antiqua" w:hAnsi="Book Antiqua"/>
          <w:i/>
          <w:iCs/>
          <w:noProof/>
          <w:sz w:val="24"/>
          <w:szCs w:val="24"/>
        </w:rPr>
        <w:t>Terrorism and the State</w:t>
      </w:r>
      <w:r w:rsidRPr="00A81A21">
        <w:rPr>
          <w:rFonts w:ascii="Book Antiqua" w:hAnsi="Book Antiqua"/>
          <w:noProof/>
          <w:sz w:val="24"/>
          <w:szCs w:val="24"/>
        </w:rPr>
        <w:t>, 2017, 129–39 &lt;https://doi.org/10.1057/978-1-137-57267-7_7&gt;</w:t>
      </w:r>
    </w:p>
    <w:p w14:paraId="3C678651"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Mohan, Muhammad Saleh Cahyadi, and Maman Lukmanul Hakim, ‘Konsep Tawassuth Sebagai Upaya Preemtif Dalam Pencegahan Aksi Terorisme’, </w:t>
      </w:r>
      <w:r w:rsidRPr="00A81A21">
        <w:rPr>
          <w:rFonts w:ascii="Book Antiqua" w:hAnsi="Book Antiqua"/>
          <w:i/>
          <w:iCs/>
          <w:noProof/>
          <w:sz w:val="24"/>
          <w:szCs w:val="24"/>
        </w:rPr>
        <w:t>Syifa Al-Qulub</w:t>
      </w:r>
      <w:r w:rsidRPr="00A81A21">
        <w:rPr>
          <w:rFonts w:ascii="Book Antiqua" w:hAnsi="Book Antiqua"/>
          <w:noProof/>
          <w:sz w:val="24"/>
          <w:szCs w:val="24"/>
        </w:rPr>
        <w:t>, 6.2 (2022), 139–46 &lt;https://doi.org/10.15575/SAQ.V6I2.14233&gt;</w:t>
      </w:r>
    </w:p>
    <w:p w14:paraId="6A98A7F7"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Molina, Ignacio, and Cesar Colino, ‘Teaching Public Administration in Spain: A Review Article’, </w:t>
      </w:r>
      <w:r w:rsidRPr="00A81A21">
        <w:rPr>
          <w:rFonts w:ascii="Book Antiqua" w:hAnsi="Book Antiqua"/>
          <w:i/>
          <w:iCs/>
          <w:noProof/>
          <w:sz w:val="24"/>
          <w:szCs w:val="24"/>
        </w:rPr>
        <w:t>Public Administration</w:t>
      </w:r>
      <w:r w:rsidRPr="00A81A21">
        <w:rPr>
          <w:rFonts w:ascii="Book Antiqua" w:hAnsi="Book Antiqua"/>
          <w:noProof/>
          <w:sz w:val="24"/>
          <w:szCs w:val="24"/>
        </w:rPr>
        <w:t>, 78.1 (2000), 233–41</w:t>
      </w:r>
    </w:p>
    <w:p w14:paraId="7D70A710"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Moonik, Andrew, ‘Penyadapan Oleh Badan Intelejen Negara Dalam Memperoleh Bukti Permulaan Tindak Pidana Terorisme’, </w:t>
      </w:r>
      <w:r w:rsidRPr="00A81A21">
        <w:rPr>
          <w:rFonts w:ascii="Book Antiqua" w:hAnsi="Book Antiqua"/>
          <w:i/>
          <w:iCs/>
          <w:noProof/>
          <w:sz w:val="24"/>
          <w:szCs w:val="24"/>
        </w:rPr>
        <w:t>Lex Crimen</w:t>
      </w:r>
      <w:r w:rsidRPr="00A81A21">
        <w:rPr>
          <w:rFonts w:ascii="Book Antiqua" w:hAnsi="Book Antiqua"/>
          <w:noProof/>
          <w:sz w:val="24"/>
          <w:szCs w:val="24"/>
        </w:rPr>
        <w:t>, 8.10 (2020)</w:t>
      </w:r>
    </w:p>
    <w:p w14:paraId="65C60613"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Ogbeide, Uyi-Ekpen, ‘Inter-Agency Cooperation in Combating Terrorism in Nigeria: Enhancing Existing Instruments and Frameworks in the Security Services’, </w:t>
      </w:r>
      <w:r w:rsidRPr="00A81A21">
        <w:rPr>
          <w:rFonts w:ascii="Book Antiqua" w:hAnsi="Book Antiqua"/>
          <w:i/>
          <w:iCs/>
          <w:noProof/>
          <w:sz w:val="24"/>
          <w:szCs w:val="24"/>
        </w:rPr>
        <w:t>African Research Review</w:t>
      </w:r>
      <w:r w:rsidRPr="00A81A21">
        <w:rPr>
          <w:rFonts w:ascii="Book Antiqua" w:hAnsi="Book Antiqua"/>
          <w:noProof/>
          <w:sz w:val="24"/>
          <w:szCs w:val="24"/>
        </w:rPr>
        <w:t>, 5.6 (2011), 239–48</w:t>
      </w:r>
    </w:p>
    <w:p w14:paraId="78E3EB14"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Oliver, Willard M., </w:t>
      </w:r>
      <w:r w:rsidRPr="00A81A21">
        <w:rPr>
          <w:rFonts w:ascii="Book Antiqua" w:hAnsi="Book Antiqua"/>
          <w:i/>
          <w:iCs/>
          <w:noProof/>
          <w:sz w:val="24"/>
          <w:szCs w:val="24"/>
        </w:rPr>
        <w:t>Policing for Homeland Security: Policy &amp; Research</w:t>
      </w:r>
      <w:r w:rsidRPr="00A81A21">
        <w:rPr>
          <w:rFonts w:ascii="Book Antiqua" w:hAnsi="Book Antiqua"/>
          <w:noProof/>
          <w:sz w:val="24"/>
          <w:szCs w:val="24"/>
        </w:rPr>
        <w:t xml:space="preserve">, </w:t>
      </w:r>
      <w:r w:rsidRPr="00A81A21">
        <w:rPr>
          <w:rFonts w:ascii="Book Antiqua" w:hAnsi="Book Antiqua"/>
          <w:i/>
          <w:iCs/>
          <w:noProof/>
          <w:sz w:val="24"/>
          <w:szCs w:val="24"/>
        </w:rPr>
        <w:t>Criminal Justice Policy Review</w:t>
      </w:r>
      <w:r w:rsidRPr="00A81A21">
        <w:rPr>
          <w:rFonts w:ascii="Book Antiqua" w:hAnsi="Book Antiqua"/>
          <w:noProof/>
          <w:sz w:val="24"/>
          <w:szCs w:val="24"/>
        </w:rPr>
        <w:t xml:space="preserve"> (SAGE PublicationsSage CA: Los Angeles, CA, July 2009), </w:t>
      </w:r>
      <w:r w:rsidRPr="00A81A21">
        <w:rPr>
          <w:rFonts w:ascii="Book Antiqua" w:hAnsi="Book Antiqua"/>
          <w:smallCaps/>
          <w:noProof/>
          <w:sz w:val="24"/>
          <w:szCs w:val="24"/>
        </w:rPr>
        <w:t>xx</w:t>
      </w:r>
      <w:r w:rsidRPr="00A81A21">
        <w:rPr>
          <w:rFonts w:ascii="Book Antiqua" w:hAnsi="Book Antiqua"/>
          <w:noProof/>
          <w:sz w:val="24"/>
          <w:szCs w:val="24"/>
        </w:rPr>
        <w:t xml:space="preserve"> &lt;https://doi.org/10.1177/0887403409337368&gt;</w:t>
      </w:r>
    </w:p>
    <w:p w14:paraId="5ABE58D9"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Phelps, Matthew, ‘The Role of the Private Sector in Counter-Terrorism: A Scoping Review of the Literature on Emergency Responses to Terrorism’, </w:t>
      </w:r>
      <w:r w:rsidRPr="00A81A21">
        <w:rPr>
          <w:rFonts w:ascii="Book Antiqua" w:hAnsi="Book Antiqua"/>
          <w:i/>
          <w:iCs/>
          <w:noProof/>
          <w:sz w:val="24"/>
          <w:szCs w:val="24"/>
        </w:rPr>
        <w:t>Security Journal</w:t>
      </w:r>
      <w:r w:rsidRPr="00A81A21">
        <w:rPr>
          <w:rFonts w:ascii="Book Antiqua" w:hAnsi="Book Antiqua"/>
          <w:noProof/>
          <w:sz w:val="24"/>
          <w:szCs w:val="24"/>
        </w:rPr>
        <w:t>, 34.4 (2021), 599–620 &lt;https://doi.org/10.1057/S41284-020-00250-6/METRICS&gt;</w:t>
      </w:r>
    </w:p>
    <w:p w14:paraId="53635CF7"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Poernomo, Troesta, Marsudi Triatmodjo, Edward Hiariej, and Marcus Priyo Gunarto, ‘Penanganan Terorisme Di Indonesia Melalui Pendekatan Hukum Dan Intelijen’ (Universitas Gajah Mada, 2018)</w:t>
      </w:r>
    </w:p>
    <w:p w14:paraId="25F24B4B"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Poernomo, Troesto, ‘Penanganan Terorisme Di Indonesia Melalui Pendekatan Hukum Dan Intelijen’ (Universitas Gadjah Mada, 2018)</w:t>
      </w:r>
    </w:p>
    <w:p w14:paraId="5B3F54BC"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Prabowo, Haris, ‘Membaca Terorisme Sekarang: Di Tengah Pandemi Dan Aksi Berpasangan’, </w:t>
      </w:r>
      <w:r w:rsidRPr="00A81A21">
        <w:rPr>
          <w:rFonts w:ascii="Book Antiqua" w:hAnsi="Book Antiqua"/>
          <w:i/>
          <w:iCs/>
          <w:noProof/>
          <w:sz w:val="24"/>
          <w:szCs w:val="24"/>
        </w:rPr>
        <w:t>Tirto.Id</w:t>
      </w:r>
      <w:r w:rsidRPr="00A81A21">
        <w:rPr>
          <w:rFonts w:ascii="Book Antiqua" w:hAnsi="Book Antiqua"/>
          <w:noProof/>
          <w:sz w:val="24"/>
          <w:szCs w:val="24"/>
        </w:rPr>
        <w:t>, 2021, p. https://tirto.id/membaca-terorisme-sekarang-di-ten</w:t>
      </w:r>
    </w:p>
    <w:p w14:paraId="27A29DFE"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Pradnyana, Hadi, ‘Perspektif Kebijakan Kontra-Terorisme ASEAN Dan Perbedaan Paradigma Penanggulangan Terorisme Oleh Negara-Negara Anggota ASEAN’, </w:t>
      </w:r>
      <w:r w:rsidRPr="00A81A21">
        <w:rPr>
          <w:rFonts w:ascii="Book Antiqua" w:hAnsi="Book Antiqua"/>
          <w:i/>
          <w:iCs/>
          <w:noProof/>
          <w:sz w:val="24"/>
          <w:szCs w:val="24"/>
        </w:rPr>
        <w:t>POLITICOS: Jurnal Politik Dan Pemerintahan</w:t>
      </w:r>
      <w:r w:rsidRPr="00A81A21">
        <w:rPr>
          <w:rFonts w:ascii="Book Antiqua" w:hAnsi="Book Antiqua"/>
          <w:noProof/>
          <w:sz w:val="24"/>
          <w:szCs w:val="24"/>
        </w:rPr>
        <w:t>, 2.1 (2022), 11–26 &lt;https://doi.org/10.22225/POLITICOS.2.1.2022.11-26&gt;</w:t>
      </w:r>
    </w:p>
    <w:p w14:paraId="2493F01E"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Pratama, Akhdi Martin, ‘Kaleidoskop 2016: Kilas Balik Bom Thamrin Halaman All - Kompas.Com’, </w:t>
      </w:r>
      <w:r w:rsidRPr="00A81A21">
        <w:rPr>
          <w:rFonts w:ascii="Book Antiqua" w:hAnsi="Book Antiqua"/>
          <w:i/>
          <w:iCs/>
          <w:noProof/>
          <w:sz w:val="24"/>
          <w:szCs w:val="24"/>
        </w:rPr>
        <w:t>Kompas</w:t>
      </w:r>
      <w:r w:rsidRPr="00A81A21">
        <w:rPr>
          <w:rFonts w:ascii="Book Antiqua" w:hAnsi="Book Antiqua"/>
          <w:noProof/>
          <w:sz w:val="24"/>
          <w:szCs w:val="24"/>
        </w:rPr>
        <w:t>, 2016</w:t>
      </w:r>
    </w:p>
    <w:p w14:paraId="5A6F7661"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Provan, Keith G, Amy Fish, and Joerg Sydow, ‘Interorganizational Networks at the Network Level: A Review of the Empirical Literature on Whole Networks’, </w:t>
      </w:r>
      <w:r w:rsidRPr="00A81A21">
        <w:rPr>
          <w:rFonts w:ascii="Book Antiqua" w:hAnsi="Book Antiqua"/>
          <w:i/>
          <w:iCs/>
          <w:noProof/>
          <w:sz w:val="24"/>
          <w:szCs w:val="24"/>
        </w:rPr>
        <w:t>Journal of Management</w:t>
      </w:r>
      <w:r w:rsidRPr="00A81A21">
        <w:rPr>
          <w:rFonts w:ascii="Book Antiqua" w:hAnsi="Book Antiqua"/>
          <w:noProof/>
          <w:sz w:val="24"/>
          <w:szCs w:val="24"/>
        </w:rPr>
        <w:t>, 33.3 (2007), 479–516</w:t>
      </w:r>
    </w:p>
    <w:p w14:paraId="011D4C05"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Riyanta, Stanislaus, ‘Peran Intelijen Dalam Penanggulangan Terorisme Di Indonesia | Jurnal Intelijen’, </w:t>
      </w:r>
      <w:r w:rsidRPr="00A81A21">
        <w:rPr>
          <w:rFonts w:ascii="Book Antiqua" w:hAnsi="Book Antiqua"/>
          <w:i/>
          <w:iCs/>
          <w:noProof/>
          <w:sz w:val="24"/>
          <w:szCs w:val="24"/>
        </w:rPr>
        <w:t>Jurnal Intelijen</w:t>
      </w:r>
      <w:r w:rsidRPr="00A81A21">
        <w:rPr>
          <w:rFonts w:ascii="Book Antiqua" w:hAnsi="Book Antiqua"/>
          <w:noProof/>
          <w:sz w:val="24"/>
          <w:szCs w:val="24"/>
        </w:rPr>
        <w:t>, 2015</w:t>
      </w:r>
    </w:p>
    <w:p w14:paraId="5BFA1B0E"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Robertson, Ken G, ‘Intelligence, Terrorism and Civil Liberties’, </w:t>
      </w:r>
      <w:r w:rsidRPr="00A81A21">
        <w:rPr>
          <w:rFonts w:ascii="Book Antiqua" w:hAnsi="Book Antiqua"/>
          <w:i/>
          <w:iCs/>
          <w:noProof/>
          <w:sz w:val="24"/>
          <w:szCs w:val="24"/>
        </w:rPr>
        <w:t>Journal of Conflict Studies</w:t>
      </w:r>
      <w:r w:rsidRPr="00A81A21">
        <w:rPr>
          <w:rFonts w:ascii="Book Antiqua" w:hAnsi="Book Antiqua"/>
          <w:noProof/>
          <w:sz w:val="24"/>
          <w:szCs w:val="24"/>
        </w:rPr>
        <w:t>, 7.2 (1987)</w:t>
      </w:r>
    </w:p>
    <w:p w14:paraId="24ECCD9E"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Sawyer, Steve, and Susan J. Winter, ‘Special Issue on Futures for Research on Information Systems: Prometheus Unbound?’, </w:t>
      </w:r>
      <w:r w:rsidRPr="00A81A21">
        <w:rPr>
          <w:rFonts w:ascii="Book Antiqua" w:hAnsi="Book Antiqua"/>
          <w:i/>
          <w:iCs/>
          <w:noProof/>
          <w:sz w:val="24"/>
          <w:szCs w:val="24"/>
        </w:rPr>
        <w:t>Journal of Information Technology 2011 26:2</w:t>
      </w:r>
      <w:r w:rsidRPr="00A81A21">
        <w:rPr>
          <w:rFonts w:ascii="Book Antiqua" w:hAnsi="Book Antiqua"/>
          <w:noProof/>
          <w:sz w:val="24"/>
          <w:szCs w:val="24"/>
        </w:rPr>
        <w:t>, 26.2 (2011), 95–98 &lt;https://doi.org/10.1057/JIT.2011.7&gt;</w:t>
      </w:r>
    </w:p>
    <w:p w14:paraId="2B98EA0F"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Setiawan, Rendi Eko Budi, and Suyoto Suyoto, ‘Duka Surabaya Dalam Bingkai Surat Kabar (Analisis Framing Pemberitaan Terorisme Di Surabaya Pada Surat Kabar Republika Dan Kompas Edisi Mei 2018)’, </w:t>
      </w:r>
      <w:r w:rsidRPr="00A81A21">
        <w:rPr>
          <w:rFonts w:ascii="Book Antiqua" w:hAnsi="Book Antiqua"/>
          <w:i/>
          <w:iCs/>
          <w:noProof/>
          <w:sz w:val="24"/>
          <w:szCs w:val="24"/>
        </w:rPr>
        <w:t>Jurnal Audiens</w:t>
      </w:r>
      <w:r w:rsidRPr="00A81A21">
        <w:rPr>
          <w:rFonts w:ascii="Book Antiqua" w:hAnsi="Book Antiqua"/>
          <w:noProof/>
          <w:sz w:val="24"/>
          <w:szCs w:val="24"/>
        </w:rPr>
        <w:t>, 1.1 (2020), 26–34 &lt;https://doi.org/10.18196/ja.1104&gt;</w:t>
      </w:r>
    </w:p>
    <w:p w14:paraId="24581C1D"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Stahn, Carsten, </w:t>
      </w:r>
      <w:r w:rsidRPr="00A81A21">
        <w:rPr>
          <w:rFonts w:ascii="Book Antiqua" w:hAnsi="Book Antiqua"/>
          <w:i/>
          <w:iCs/>
          <w:noProof/>
          <w:sz w:val="24"/>
          <w:szCs w:val="24"/>
        </w:rPr>
        <w:t>A Critical Introduction to International Criminal Law - Carsten Stahn - Google Books</w:t>
      </w:r>
      <w:r w:rsidRPr="00A81A21">
        <w:rPr>
          <w:rFonts w:ascii="Book Antiqua" w:hAnsi="Book Antiqua"/>
          <w:noProof/>
          <w:sz w:val="24"/>
          <w:szCs w:val="24"/>
        </w:rPr>
        <w:t xml:space="preserve"> (Cambridge University Press, 2019)</w:t>
      </w:r>
    </w:p>
    <w:p w14:paraId="633B5621"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Subyandono, Eristo, ‘Tujuh Kasus Teror Bom Yang Guncang Indonesia’, </w:t>
      </w:r>
      <w:r w:rsidRPr="00A81A21">
        <w:rPr>
          <w:rFonts w:ascii="Book Antiqua" w:hAnsi="Book Antiqua"/>
          <w:i/>
          <w:iCs/>
          <w:noProof/>
          <w:sz w:val="24"/>
          <w:szCs w:val="24"/>
        </w:rPr>
        <w:t>Kompaspedia</w:t>
      </w:r>
      <w:r w:rsidRPr="00A81A21">
        <w:rPr>
          <w:rFonts w:ascii="Book Antiqua" w:hAnsi="Book Antiqua"/>
          <w:noProof/>
          <w:sz w:val="24"/>
          <w:szCs w:val="24"/>
        </w:rPr>
        <w:t>, 2021</w:t>
      </w:r>
    </w:p>
    <w:p w14:paraId="766428C5"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Svendsen, Adam D.M., ‘Developing International Intelligence Liaison Against Islamic State: Approaching “One for All and All for One”?’, </w:t>
      </w:r>
      <w:r w:rsidRPr="00A81A21">
        <w:rPr>
          <w:rFonts w:ascii="Book Antiqua" w:hAnsi="Book Antiqua"/>
          <w:i/>
          <w:iCs/>
          <w:noProof/>
          <w:sz w:val="24"/>
          <w:szCs w:val="24"/>
        </w:rPr>
        <w:t>International Journal of Intelligence and CounterIntelligence</w:t>
      </w:r>
      <w:r w:rsidRPr="00A81A21">
        <w:rPr>
          <w:rFonts w:ascii="Book Antiqua" w:hAnsi="Book Antiqua"/>
          <w:noProof/>
          <w:sz w:val="24"/>
          <w:szCs w:val="24"/>
        </w:rPr>
        <w:t>, 29.2 (2016), 260–77 &lt;https://doi.org/10.1080/08850607.2016.1121042&gt;</w:t>
      </w:r>
    </w:p>
    <w:p w14:paraId="7B7D0646"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Tempo.co, ‘BIN Telah Mendeteksi Indikasi Penyerangan Di Poso’, </w:t>
      </w:r>
      <w:r w:rsidRPr="00A81A21">
        <w:rPr>
          <w:rFonts w:ascii="Book Antiqua" w:hAnsi="Book Antiqua"/>
          <w:i/>
          <w:iCs/>
          <w:noProof/>
          <w:sz w:val="24"/>
          <w:szCs w:val="24"/>
        </w:rPr>
        <w:t>Tempo.Co</w:t>
      </w:r>
      <w:r w:rsidRPr="00A81A21">
        <w:rPr>
          <w:rFonts w:ascii="Book Antiqua" w:hAnsi="Book Antiqua"/>
          <w:noProof/>
          <w:sz w:val="24"/>
          <w:szCs w:val="24"/>
        </w:rPr>
        <w:t>, 2003</w:t>
      </w:r>
    </w:p>
    <w:p w14:paraId="06669D40"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Verella Devanka, ‘Deklarasi Malino: Latar Belakang, Isi, Dan Dampak Halaman All - Kompas.Com’, </w:t>
      </w:r>
      <w:r w:rsidRPr="00A81A21">
        <w:rPr>
          <w:rFonts w:ascii="Book Antiqua" w:hAnsi="Book Antiqua"/>
          <w:i/>
          <w:iCs/>
          <w:noProof/>
          <w:sz w:val="24"/>
          <w:szCs w:val="24"/>
        </w:rPr>
        <w:t>Kompas</w:t>
      </w:r>
      <w:r w:rsidRPr="00A81A21">
        <w:rPr>
          <w:rFonts w:ascii="Book Antiqua" w:hAnsi="Book Antiqua"/>
          <w:noProof/>
          <w:sz w:val="24"/>
          <w:szCs w:val="24"/>
        </w:rPr>
        <w:t>, 2021</w:t>
      </w:r>
    </w:p>
    <w:p w14:paraId="29AB506E"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Wagner, Johann, ‘Frontex—The EU Border Management and Coast Guard Agency’, in </w:t>
      </w:r>
      <w:r w:rsidRPr="00A81A21">
        <w:rPr>
          <w:rFonts w:ascii="Book Antiqua" w:hAnsi="Book Antiqua"/>
          <w:i/>
          <w:iCs/>
          <w:noProof/>
          <w:sz w:val="24"/>
          <w:szCs w:val="24"/>
        </w:rPr>
        <w:t>Advanced Sciences and Technologies for Security Applications</w:t>
      </w:r>
      <w:r w:rsidRPr="00A81A21">
        <w:rPr>
          <w:rFonts w:ascii="Book Antiqua" w:hAnsi="Book Antiqua"/>
          <w:noProof/>
          <w:sz w:val="24"/>
          <w:szCs w:val="24"/>
        </w:rPr>
        <w:t xml:space="preserve"> (Springer, 2021), pp. 229–43 &lt;https://doi.org/10.1007/978-3-030-62728-7_10/COVER&gt;</w:t>
      </w:r>
    </w:p>
    <w:p w14:paraId="2C395DEF"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Winward, Mark, ‘Intelligence Capacity and Mass Violence: Evidence from Indonesia’, </w:t>
      </w:r>
      <w:r w:rsidRPr="00A81A21">
        <w:rPr>
          <w:rFonts w:ascii="Book Antiqua" w:hAnsi="Book Antiqua"/>
          <w:i/>
          <w:iCs/>
          <w:noProof/>
          <w:sz w:val="24"/>
          <w:szCs w:val="24"/>
        </w:rPr>
        <w:t>Comparative Political Studies</w:t>
      </w:r>
      <w:r w:rsidRPr="00A81A21">
        <w:rPr>
          <w:rFonts w:ascii="Book Antiqua" w:hAnsi="Book Antiqua"/>
          <w:noProof/>
          <w:sz w:val="24"/>
          <w:szCs w:val="24"/>
        </w:rPr>
        <w:t>, 54.3–4 (2021), 553–84</w:t>
      </w:r>
    </w:p>
    <w:p w14:paraId="2FD568BA"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Wolfe, Natalie, ‘Vienna Synagogue Attack: Mass Shooting Situation in Austria | News.Com.Au — Australia’s Leading News Site’, </w:t>
      </w:r>
      <w:r w:rsidRPr="00A81A21">
        <w:rPr>
          <w:rFonts w:ascii="Book Antiqua" w:hAnsi="Book Antiqua"/>
          <w:i/>
          <w:iCs/>
          <w:noProof/>
          <w:sz w:val="24"/>
          <w:szCs w:val="24"/>
        </w:rPr>
        <w:t>News</w:t>
      </w:r>
      <w:r w:rsidRPr="00A81A21">
        <w:rPr>
          <w:rFonts w:ascii="Book Antiqua" w:hAnsi="Book Antiqua"/>
          <w:noProof/>
          <w:sz w:val="24"/>
          <w:szCs w:val="24"/>
        </w:rPr>
        <w:t>, 2020</w:t>
      </w:r>
    </w:p>
    <w:p w14:paraId="291F6550"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szCs w:val="24"/>
        </w:rPr>
      </w:pPr>
      <w:r w:rsidRPr="00A81A21">
        <w:rPr>
          <w:rFonts w:ascii="Book Antiqua" w:hAnsi="Book Antiqua"/>
          <w:noProof/>
          <w:sz w:val="24"/>
          <w:szCs w:val="24"/>
        </w:rPr>
        <w:t xml:space="preserve">Woodside, Arch G., </w:t>
      </w:r>
      <w:r w:rsidRPr="00A81A21">
        <w:rPr>
          <w:rFonts w:ascii="Book Antiqua" w:hAnsi="Book Antiqua"/>
          <w:i/>
          <w:iCs/>
          <w:noProof/>
          <w:sz w:val="24"/>
          <w:szCs w:val="24"/>
        </w:rPr>
        <w:t>Case Study Research: Theory, Methods ... - Google Books</w:t>
      </w:r>
      <w:r w:rsidRPr="00A81A21">
        <w:rPr>
          <w:rFonts w:ascii="Book Antiqua" w:hAnsi="Book Antiqua"/>
          <w:noProof/>
          <w:sz w:val="24"/>
          <w:szCs w:val="24"/>
        </w:rPr>
        <w:t xml:space="preserve"> (Emerald Group Publishing, 2010)</w:t>
      </w:r>
    </w:p>
    <w:p w14:paraId="347E7B51" w14:textId="77777777" w:rsidR="00A81A21" w:rsidRPr="00A81A21" w:rsidRDefault="00A81A21" w:rsidP="00A71F3C">
      <w:pPr>
        <w:widowControl w:val="0"/>
        <w:autoSpaceDE w:val="0"/>
        <w:autoSpaceDN w:val="0"/>
        <w:adjustRightInd w:val="0"/>
        <w:ind w:left="480" w:hanging="480"/>
        <w:jc w:val="both"/>
        <w:rPr>
          <w:rFonts w:ascii="Book Antiqua" w:hAnsi="Book Antiqua"/>
          <w:noProof/>
          <w:sz w:val="24"/>
        </w:rPr>
      </w:pPr>
      <w:r w:rsidRPr="00A81A21">
        <w:rPr>
          <w:rFonts w:ascii="Book Antiqua" w:hAnsi="Book Antiqua"/>
          <w:noProof/>
          <w:sz w:val="24"/>
          <w:szCs w:val="24"/>
        </w:rPr>
        <w:t xml:space="preserve">Zulfikar, Muhammad, ‘BNPT Ungkap Internet Tantangan Penanganan Terorisme Di Masa Pandemi - ANTARA News’, </w:t>
      </w:r>
      <w:r w:rsidRPr="00A81A21">
        <w:rPr>
          <w:rFonts w:ascii="Book Antiqua" w:hAnsi="Book Antiqua"/>
          <w:i/>
          <w:iCs/>
          <w:noProof/>
          <w:sz w:val="24"/>
          <w:szCs w:val="24"/>
        </w:rPr>
        <w:t>Antaranews</w:t>
      </w:r>
      <w:r w:rsidRPr="00A81A21">
        <w:rPr>
          <w:rFonts w:ascii="Book Antiqua" w:hAnsi="Book Antiqua"/>
          <w:noProof/>
          <w:sz w:val="24"/>
          <w:szCs w:val="24"/>
        </w:rPr>
        <w:t>, 2021</w:t>
      </w:r>
    </w:p>
    <w:p w14:paraId="609B2E0E" w14:textId="5A40225E" w:rsidR="009350FD" w:rsidRPr="00B56D4F" w:rsidRDefault="009350FD" w:rsidP="00A71F3C">
      <w:pPr>
        <w:ind w:firstLine="284"/>
        <w:jc w:val="both"/>
        <w:rPr>
          <w:rFonts w:ascii="Book Antiqua" w:hAnsi="Book Antiqua"/>
          <w:b/>
          <w:bCs/>
          <w:sz w:val="24"/>
          <w:szCs w:val="24"/>
          <w:lang w:val="id-ID"/>
        </w:rPr>
      </w:pPr>
      <w:r>
        <w:rPr>
          <w:rFonts w:ascii="Book Antiqua" w:hAnsi="Book Antiqua"/>
          <w:b/>
          <w:bCs/>
          <w:sz w:val="24"/>
          <w:szCs w:val="24"/>
          <w:lang w:val="id-ID"/>
        </w:rPr>
        <w:fldChar w:fldCharType="end"/>
      </w:r>
      <w:bookmarkEnd w:id="3"/>
    </w:p>
    <w:sectPr w:rsidR="009350FD" w:rsidRPr="00B56D4F" w:rsidSect="00882EA9">
      <w:headerReference w:type="even" r:id="rId12"/>
      <w:headerReference w:type="default" r:id="rId13"/>
      <w:footerReference w:type="even" r:id="rId14"/>
      <w:footerReference w:type="default" r:id="rId15"/>
      <w:headerReference w:type="first" r:id="rId16"/>
      <w:footerReference w:type="first" r:id="rId17"/>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D592E4" w14:textId="77777777" w:rsidR="00A57E33" w:rsidRDefault="00A57E33">
      <w:r>
        <w:separator/>
      </w:r>
    </w:p>
  </w:endnote>
  <w:endnote w:type="continuationSeparator" w:id="0">
    <w:p w14:paraId="41C8A4C3" w14:textId="77777777" w:rsidR="00A57E33" w:rsidRDefault="00A57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9ED56" w14:textId="79FE6593" w:rsidR="00CA36DF" w:rsidRDefault="0032035E" w:rsidP="00CA36DF">
    <w:pPr>
      <w:pStyle w:val="Footer"/>
    </w:pPr>
    <w:r>
      <w:rPr>
        <w:noProof/>
        <w:lang w:val="id-ID" w:eastAsia="id-ID"/>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A71F3C" w:rsidRPr="00A71F3C">
                              <w:rPr>
                                <w:rFonts w:ascii="Garamond" w:hAnsi="Garamond"/>
                                <w:noProof/>
                                <w:color w:val="FFFFFF"/>
                                <w:sz w:val="18"/>
                              </w:rPr>
                              <w:t>16</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">
              <v:rect id="Rectangle 157" o:spid="_x0000_s1027"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lK0MMA&#10;AADbAAAADwAAAGRycy9kb3ducmV2LnhtbESPQWvCQBCF70L/wzIFb7pRiqTRVYog5NCL2oPHITtN&#10;gtnZuLvV5N87B6G3Gd6b977Z7AbXqTuF2Ho2sJhnoIgrb1uuDfycD7McVEzIFjvPZGCkCLvt22SD&#10;hfUPPtL9lGolIRwLNNCk1Bdax6ohh3Hue2LRfn1wmGQNtbYBHxLuOr3MspV22LI0NNjTvqHqevpz&#10;Bm55+sjHz1UoF9W1HL/z0V3Oe2Om78PXGlSiIf2bX9elFXyhl19kAL1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lK0MMAAADbAAAADwAAAAAAAAAAAAAAAACYAgAAZHJzL2Rv&#10;d25yZXYueG1sUEsFBgAAAAAEAAQA9QAAAIgDAAAAAA==&#10;" fillcolor="#953735" stroked="f" strokecolor="#943634">
                <v:textbo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fnRcIA&#10;AADbAAAADwAAAGRycy9kb3ducmV2LnhtbERPTWsCMRC9F/wPYQQvRbP2ILIapYiCFKWoi/Q4Taa7&#10;i5vJkkRd/31TKHibx/uc+bKzjbiRD7VjBeNRBoJYO1NzqaA4bYZTECEiG2wck4IHBVguei9zzI27&#10;84Fux1iKFMIhRwVVjG0uZdAVWQwj1xIn7sd5izFBX0rj8Z7CbSPfsmwiLdacGipsaVWRvhyvVsF6&#10;NbVf51f9/el84T92h/026L1Sg373PgMRqYtP8b97a9L8Mfz9kg6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dFwgAAANsAAAAPAAAAAAAAAAAAAAAAAJgCAABkcnMvZG93&#10;bnJldi54bWxQSwUGAAAAAAQABAD1AAAAhwM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A71F3C" w:rsidRPr="00A71F3C">
                        <w:rPr>
                          <w:rFonts w:ascii="Garamond" w:hAnsi="Garamond"/>
                          <w:noProof/>
                          <w:color w:val="FFFFFF"/>
                          <w:sz w:val="18"/>
                        </w:rPr>
                        <w:t>16</w:t>
                      </w:r>
                      <w:r w:rsidRPr="00BE0AD4">
                        <w:rPr>
                          <w:rFonts w:ascii="Garamond" w:hAnsi="Garamond"/>
                          <w:sz w:val="18"/>
                        </w:rPr>
                        <w:fldChar w:fldCharType="end"/>
                      </w:r>
                    </w:p>
                  </w:txbxContent>
                </v:textbox>
              </v:rect>
              <v:rect id="Rectangle 159" o:spid="_x0000_s1029"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CvMAA&#10;AADbAAAADwAAAGRycy9kb3ducmV2LnhtbERP32vCMBB+F/wfwg18s+kEZXRG6WSCT8KcoHs7mltS&#10;bC6lyWz97xdB8O0+vp+3XA+uEVfqQu1ZwWuWgyCuvK7ZKDh+b6dvIEJE1th4JgU3CrBejUdLLLTv&#10;+Yuuh2hECuFQoAIbY1tIGSpLDkPmW+LE/frOYUywM1J32Kdw18hZni+kw5pTg8WWNpaqy+HPKfhs&#10;f/bl3ARZnqI9X/xHv7V7o9TkZSjfQUQa4lP8cO90mj+D+y/p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NCvMAAAADbAAAADwAAAAAAAAAAAAAAAACYAgAAZHJzL2Rvd25y&#10;ZXYueG1sUEsFBgAAAAAEAAQA9QAAAIUD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570F4" w14:textId="4066B677" w:rsidR="00CA36DF" w:rsidRDefault="0032035E" w:rsidP="00CA36DF">
    <w:pPr>
      <w:pStyle w:val="Footer"/>
    </w:pPr>
    <w:r>
      <w:rPr>
        <w:noProof/>
        <w:lang w:val="id-ID" w:eastAsia="id-ID"/>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A71F3C" w:rsidRPr="00A71F3C">
                              <w:rPr>
                                <w:rFonts w:ascii="Garamond" w:hAnsi="Garamond"/>
                                <w:noProof/>
                                <w:color w:val="FFFFFF"/>
                                <w:sz w:val="18"/>
                              </w:rPr>
                              <w:t>17</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">
              <v:rect id="Rectangle 157" o:spid="_x0000_s1031"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ErbcMA&#10;AADaAAAADwAAAGRycy9kb3ducmV2LnhtbESPzWrDMBCE74W+g9hCb7WcUozjRgklUPChl9o55LhY&#10;W9vEWrmS6p+3rwKBHIeZ+YbZHRYziImc7y0r2CQpCOLG6p5bBaf68yUH4QOyxsEyKVjJw2H/+LDD&#10;QtuZv2mqQisihH2BCroQxkJK33Rk0Cd2JI7ej3UGQ5SuldrhHOFmkK9pmkmDPceFDkc6dtRcqj+j&#10;4DcPb/m6zVy5aS7l+pWv5lwflXp+Wj7eQQRawj18a5daQQbXK/EGyP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ErbcMAAADaAAAADwAAAAAAAAAAAAAAAACYAgAAZHJzL2Rv&#10;d25yZXYueG1sUEsFBgAAAAAEAAQA9QAAAIgDAAAAAA==&#10;" fillcolor="#953735" stroked="f" strokecolor="#943634">
                <v:textbo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KUJcQA&#10;AADaAAAADwAAAGRycy9kb3ducmV2LnhtbESPT2sCMRTE74LfITyhF6nZelDZGkWkgpSK+IfS4zN5&#10;7i5uXpYk1fXbNwXB4zAzv2Gm89bW4ko+VI4VvA0yEMTamYoLBcfD6nUCIkRkg7VjUnCnAPNZtzPF&#10;3Lgb7+i6j4VIEA45KihjbHIpgy7JYhi4hjh5Z+ctxiR9IY3HW4LbWg6zbCQtVpwWSmxoWZK+7H+t&#10;go/lxP589/Vp6/zRf37tNuugN0q99NrFO4hIbXyGH+21UTCG/yvpBs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ClCXEAAAA2gAAAA8AAAAAAAAAAAAAAAAAmAIAAGRycy9k&#10;b3ducmV2LnhtbFBLBQYAAAAABAAEAPUAAACJAw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A71F3C" w:rsidRPr="00A71F3C">
                        <w:rPr>
                          <w:rFonts w:ascii="Garamond" w:hAnsi="Garamond"/>
                          <w:noProof/>
                          <w:color w:val="FFFFFF"/>
                          <w:sz w:val="18"/>
                        </w:rPr>
                        <w:t>17</w:t>
                      </w:r>
                      <w:r w:rsidRPr="00BE0AD4">
                        <w:rPr>
                          <w:rFonts w:ascii="Garamond" w:hAnsi="Garamond"/>
                          <w:sz w:val="18"/>
                        </w:rPr>
                        <w:fldChar w:fldCharType="end"/>
                      </w:r>
                    </w:p>
                  </w:txbxContent>
                </v:textbox>
              </v:rect>
              <v:rect id="Rectangle 159" o:spid="_x0000_s1033"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p0r4A&#10;AADaAAAADwAAAGRycy9kb3ducmV2LnhtbERPTYvCMBC9L/gfwgje1lTBRapRqih4ElYF9TY0Y1Js&#10;JqWJtvvvN4eFPT7e93Ldu1q8qQ2VZwWTcQaCuPS6YqPgct5/zkGEiKyx9kwKfijAejX4WGKufcff&#10;9D5FI1IIhxwV2BibXMpQWnIYxr4hTtzDtw5jgq2RusUuhbtaTrPsSzqsODVYbGhrqXyeXk7Brrkf&#10;i5kJsrhGe3v6Tbe3R6PUaNgXCxCR+vgv/nMftIK0NV1JN0C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kadK+AAAA2gAAAA8AAAAAAAAAAAAAAAAAmAIAAGRycy9kb3ducmV2&#10;LnhtbFBLBQYAAAAABAAEAPUAAACDAw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E2A6C" w14:textId="193509A8" w:rsidR="002B1F0A" w:rsidRDefault="0032035E" w:rsidP="002B1F0A">
    <w:pPr>
      <w:pStyle w:val="Footer"/>
    </w:pPr>
    <w:r>
      <w:rPr>
        <w:noProof/>
        <w:lang w:val="id-ID" w:eastAsia="id-ID"/>
      </w:rPr>
      <mc:AlternateContent>
        <mc:Choice Requires="wpg">
          <w:drawing>
            <wp:anchor distT="0" distB="0" distL="114300" distR="114300" simplePos="0" relativeHeight="251658240" behindDoc="0" locked="0" layoutInCell="1" allowOverlap="1" wp14:anchorId="1C2C24F3" wp14:editId="68E0F572">
              <wp:simplePos x="0" y="0"/>
              <wp:positionH relativeFrom="page">
                <wp:align>center</wp:align>
              </wp:positionH>
              <wp:positionV relativeFrom="line">
                <wp:align>top</wp:align>
              </wp:positionV>
              <wp:extent cx="5859145" cy="347345"/>
              <wp:effectExtent l="10160" t="13335" r="7620" b="1079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A57E33" w:rsidRPr="00A57E33">
                              <w:rPr>
                                <w:rFonts w:ascii="Garamond" w:hAnsi="Garamond"/>
                                <w:noProof/>
                                <w:color w:val="FFFFFF"/>
                                <w:sz w:val="18"/>
                              </w:rPr>
                              <w:t>1</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0;margin-top:0;width:461.3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">
              <v:rect id="Rectangle 157" o:spid="_x0000_s1035"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tbsIA&#10;AADaAAAADwAAAGRycy9kb3ducmV2LnhtbESPT4vCMBTE74LfITxhb5paFulWo0hhoYe9+Ofg8dG8&#10;bYvNS02itt/eLCx4HGbmN8xmN5hOPMj51rKC5SIBQVxZ3XKt4Hz6nmcgfEDW2FkmBSN52G2nkw3m&#10;2j75QI9jqEWEsM9RQRNCn0vpq4YM+oXtiaP3a53BEKWrpXb4jHDTyTRJVtJgy3GhwZ6Khqrr8W4U&#10;3LLwmY1fK1cuq2s5/mSjuZwKpT5mw34NItAQ3uH/dqkVpPB3Jd4AuX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6i1uwgAAANoAAAAPAAAAAAAAAAAAAAAAAJgCAABkcnMvZG93&#10;bnJldi54bWxQSwUGAAAAAAQABAD1AAAAhwMAAAAA&#10;" fillcolor="#953735" stroked="f" strokecolor="#943634">
                <v:textbo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mSJsMA&#10;AADaAAAADwAAAGRycy9kb3ducmV2LnhtbESP3WoCMRSE7wXfIRyhN1KzVRDZGkWkgpSK+EPp5TE5&#10;7i5uTpYk1fXtm4Lg5TAz3zDTeWtrcSUfKscK3gYZCGLtTMWFguNh9ToBESKywdoxKbhTgPms25li&#10;btyNd3Tdx0IkCIccFZQxNrmUQZdkMQxcQ5y8s/MWY5K+kMbjLcFtLYdZNpYWK04LJTa0LElf9r9W&#10;wcdyYn+++/q0df7oP792m3XQG6Veeu3iHUSkNj7Dj/baKBjB/5V0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mSJsMAAADaAAAADwAAAAAAAAAAAAAAAACYAgAAZHJzL2Rv&#10;d25yZXYueG1sUEsFBgAAAAAEAAQA9QAAAIgD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A57E33" w:rsidRPr="00A57E33">
                        <w:rPr>
                          <w:rFonts w:ascii="Garamond" w:hAnsi="Garamond"/>
                          <w:noProof/>
                          <w:color w:val="FFFFFF"/>
                          <w:sz w:val="18"/>
                        </w:rPr>
                        <w:t>1</w:t>
                      </w:r>
                      <w:r w:rsidRPr="00BE0AD4">
                        <w:rPr>
                          <w:rFonts w:ascii="Garamond" w:hAnsi="Garamond"/>
                          <w:sz w:val="18"/>
                        </w:rPr>
                        <w:fldChar w:fldCharType="end"/>
                      </w:r>
                    </w:p>
                  </w:txbxContent>
                </v:textbox>
              </v:rect>
              <v:rect id="Rectangle 159" o:spid="_x0000_s1037"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j18MA&#10;AADaAAAADwAAAGRycy9kb3ducmV2LnhtbESPQWvCQBSE7wX/w/IEb3VTqa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j18MAAADaAAAADwAAAAAAAAAAAAAAAACYAgAAZHJzL2Rv&#10;d25yZXYueG1sUEsFBgAAAAAEAAQA9QAAAIgD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50CDB2" w14:textId="77777777" w:rsidR="00A57E33" w:rsidRDefault="00A57E33">
      <w:r>
        <w:separator/>
      </w:r>
    </w:p>
  </w:footnote>
  <w:footnote w:type="continuationSeparator" w:id="0">
    <w:p w14:paraId="369A6706" w14:textId="77777777" w:rsidR="00A57E33" w:rsidRDefault="00A57E33">
      <w:r>
        <w:continuationSeparator/>
      </w:r>
    </w:p>
  </w:footnote>
  <w:footnote w:id="1">
    <w:p w14:paraId="5C500552" w14:textId="68A4966C"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{"citationItems":[{"id":"ITEM-1","itemData":{"DOI":"10.1142/9789812799647_0030","abstract":"Terrorism will not disappear in the future. Conflict will evolve in coming years once the terrorists adapt scientific and technological advances. Terrorism is a changing and upgrading of the classic that relies on terrorism to the size of the disaster sent panic, and, more recently, the terrorism that has impressive training bases, and modern war means endless financial resources. Currently, the weapon of terrorism is the human being. Emergence of suicide terrorism, and especially women in terrorist attacks were the new methods of terrorism. As terrorist threats and tactics and they turned from mundane armed attacks or bombs to CBRN terrorism, agricultural terrorism, ecological terrorism or cyber-terrorism. In the future, the media will provide vital information in real time and immediate audience, allowing terrorism to modernize criminal actions and have overwhelming impact on the public.","author":[{"dropping-particle":"","family":"Gaub","given":"Florence","non-dropping-particle":"","parse-names":false,"suffix":""}],"container-title":"European Union Institute for Security Studies (EUISS)","id":"ITEM-1","issue":"March","issued":{"date-parts":[["2017"]]},"page":"218-223","title":"Trends in Terrorism","type":"webpage"},"uris":["http://www.mendeley.com/documents/?uuid=7f0c1f87-2426-49a7-bf91-b4b0b518a7b2","http://www.mendeley.com/documents/?uuid=68124f10-8ca2-43fd-a57c-2b6d3c8efe0d"]}],"mendeley":{"formattedCitation":"Florence Gaub, ‘Trends in Terrorism’, &lt;i&gt;European Union Institute for Security Studies (EUISS)&lt;/i&gt;, 2017, pp. 218–23 &lt;https://doi.org/10.1142/9789812799647_0030&gt;.","plainTextFormattedCitation":"Florence Gaub, ‘Trends in Terrorism’, European Union Institute for Security Studies (EUISS), 2017, pp. 218–23 .","previouslyFormattedCitation":"Florence Gaub, ‘Trends in Terrorism’, &lt;i&gt;European Union Institute for Security Studies (EUISS)&lt;/i&gt;, 2017, pp. 218–23 &lt;https://doi.org/10.1142/9789812799647_0030&gt;."},"properties":{"noteIndex":1},"schema":"https://github.com/citation-style-language/schema/raw/master/csl-citation.json"}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Florence Gaub, ‘Trends in Terrorism’, </w:t>
      </w:r>
      <w:r w:rsidRPr="00F67E8A">
        <w:rPr>
          <w:rFonts w:ascii="Book Antiqua" w:hAnsi="Book Antiqua"/>
          <w:i/>
          <w:noProof/>
        </w:rPr>
        <w:t>European Union Institute for Security Studies (EUISS)</w:t>
      </w:r>
      <w:r w:rsidRPr="00F67E8A">
        <w:rPr>
          <w:rFonts w:ascii="Book Antiqua" w:hAnsi="Book Antiqua"/>
          <w:noProof/>
        </w:rPr>
        <w:t>, 2017, pp. 218–23 &lt;https://doi.org/10.1142/9789812799647_0030&gt;.</w:t>
      </w:r>
      <w:r w:rsidRPr="00F67E8A">
        <w:rPr>
          <w:rFonts w:ascii="Book Antiqua" w:hAnsi="Book Antiqua"/>
        </w:rPr>
        <w:fldChar w:fldCharType="end"/>
      </w:r>
    </w:p>
  </w:footnote>
  <w:footnote w:id="2">
    <w:p w14:paraId="298A1E7A" w14:textId="029B6C50"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{"citationItems":[{"id":"ITEM-1","itemData":{"author":[{"dropping-particle":"","family":"Wolfe","given":"Natalie","non-dropping-particle":"","parse-names":false,"suffix":""}],"container-title":"News","id":"ITEM-1","issued":{"date-parts":[["2020"]]},"title":"Vienna synagogue attack: Mass shooting situation in Austria | news.com.au — Australia’s leading news site","type":"article-newspaper"},"uris":["http://www.mendeley.com/documents/?uuid=5f9a4bd3-5aea-31bf-ae18-480104486498","http://www.mendeley.com/documents/?uuid=fec45c79-c4e4-40ba-ba05-cfab7de853ae"]}],"mendeley":{"formattedCitation":"Natalie Wolfe, ‘Vienna Synagogue Attack: Mass Shooting Situation in Austria | News.Com.Au — Australia’s Leading News Site’, &lt;i&gt;News&lt;/i&gt;, 2020.","plainTextFormattedCitation":"Natalie Wolfe, ‘Vienna Synagogue Attack: Mass Shooting Situation in Austria | News.Com.Au — Australia’s Leading News Site’, News, 2020.","previouslyFormattedCitation":"Natalie Wolfe, ‘Vienna Synagogue Attack: Mass Shooting Situation in Austria | News.com.au — Australia’s Leading News Site’, &lt;i&gt;News&lt;/i&gt;, 2020 &lt;https://www.news.com.au/world/europe/vienna-synagogue-shooting-active-shooter-situation-in-austria/news-story/9a5d173738b6176b38b04250ff842847&gt; [accessed 24 December 2022]."},"properties":{"noteIndex":2},"schema":"https://github.com/citation-style-language/schema/raw/master/csl-citation.json"}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Natalie Wolfe, ‘Vienna Synagogue Attack: Mass Shooting Situation in Austria | News.Com.Au — Australia’s Leading News Site’, </w:t>
      </w:r>
      <w:r w:rsidRPr="00F67E8A">
        <w:rPr>
          <w:rFonts w:ascii="Book Antiqua" w:hAnsi="Book Antiqua"/>
          <w:i/>
          <w:noProof/>
        </w:rPr>
        <w:t>News</w:t>
      </w:r>
      <w:r w:rsidRPr="00F67E8A">
        <w:rPr>
          <w:rFonts w:ascii="Book Antiqua" w:hAnsi="Book Antiqua"/>
          <w:noProof/>
        </w:rPr>
        <w:t>, 2020.</w:t>
      </w:r>
      <w:r w:rsidRPr="00F67E8A">
        <w:rPr>
          <w:rFonts w:ascii="Book Antiqua" w:hAnsi="Book Antiqua"/>
        </w:rPr>
        <w:fldChar w:fldCharType="end"/>
      </w:r>
    </w:p>
  </w:footnote>
  <w:footnote w:id="3">
    <w:p w14:paraId="04A7A55D" w14:textId="4D2E9172"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{"citationItems":[{"id":"ITEM-1","itemData":{"author":[{"dropping-particle":"","family":"CNN","given":"","non-dropping-particle":"","parse-names":false,"suffix":""}],"container-title":"CNN Indonesia","id":"ITEM-1","issued":{"date-parts":[["2021"]]},"title":"Dua Tentara Turki Tewas dalam Serangan Teror di Suriah","type":"article-newspaper"},"uris":["http://www.mendeley.com/documents/?uuid=9e523e4b-d486-3996-9872-cdf288ddf7e6","http://www.mendeley.com/documents/?uuid=369aa86e-0792-4f49-8c36-4f6f949a90c6"]}],"mendeley":{"formattedCitation":"CNN, ‘Dua Tentara Turki Tewas Dalam Serangan Teror Di Suriah’, &lt;i&gt;CNN Indonesia&lt;/i&gt;, 2021.","plainTextFormattedCitation":"CNN, ‘Dua Tentara Turki Tewas Dalam Serangan Teror Di Suriah’, CNN Indonesia, 2021.","previouslyFormattedCitation":"CNN, ‘Dua Tentara Turki Tewas Dalam Serangan Teror Di Suriah’, &lt;i&gt;CNN Indonesia&lt;/i&gt;, 2021 &lt;https://www.cnnindonesia.com/internasional/20210725100409-120-671870/dua-tentara-turki-tewas-dalam-serangan-teror-di-suriah&gt; [accessed 4 August 2022]."},"properties":{"noteIndex":3},"schema":"https://github.com/citation-style-language/schema/raw/master/csl-citation.json"}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CNN, ‘Dua Tentara Turki Tewas Dalam Serangan Teror Di Suriah’, </w:t>
      </w:r>
      <w:r w:rsidRPr="00F67E8A">
        <w:rPr>
          <w:rFonts w:ascii="Book Antiqua" w:hAnsi="Book Antiqua"/>
          <w:i/>
          <w:noProof/>
        </w:rPr>
        <w:t>CNN Indonesia</w:t>
      </w:r>
      <w:r w:rsidRPr="00F67E8A">
        <w:rPr>
          <w:rFonts w:ascii="Book Antiqua" w:hAnsi="Book Antiqua"/>
          <w:noProof/>
        </w:rPr>
        <w:t>, 2021.</w:t>
      </w:r>
      <w:r w:rsidRPr="00F67E8A">
        <w:rPr>
          <w:rFonts w:ascii="Book Antiqua" w:hAnsi="Book Antiqua"/>
        </w:rPr>
        <w:fldChar w:fldCharType="end"/>
      </w:r>
    </w:p>
  </w:footnote>
  <w:footnote w:id="4">
    <w:p w14:paraId="7933976A" w14:textId="59395123"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{"citationItems":[{"id":"ITEM-1","itemData":{"author":[{"dropping-particle":"","family":"DW","given":"","non-dropping-particle":"","parse-names":false,"suffix":""}],"id":"ITEM-1","issued":{"date-parts":[["0"]]},"title":"Suicide bombing rocks Indonesian church – DW – 03/28/2021","type":"webpage"},"uris":["http://www.mendeley.com/documents/?uuid=62b57af1-2cd4-3f18-8201-90131fed4c44","http://www.mendeley.com/documents/?uuid=c9d50886-d867-479c-958b-35432dc50f8b"]}],"mendeley":{"formattedCitation":"DW, ‘Suicide Bombing Rocks Indonesian Church – DW – 03/28/2021’.","plainTextFormattedCitation":"DW, ‘Suicide Bombing Rocks Indonesian Church – DW – 03/28/2021’.","previouslyFormattedCitation":"DW, ‘Suicide Bombing Rocks Indonesian Church – DW – 03/28/2021’ &lt;https://www.dw.com/en/indonesia-several-injured-in-church-suicide-bombing/a-57029105&gt; [accessed 24 December 2022]."},"properties":{"noteIndex":4},"schema":"https://github.com/citation-style-language/schema/raw/master/csl-citation.json"}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DW, ‘Suicide Bombing Rocks Indonesian Church – DW – 03/28/2021’.</w:t>
      </w:r>
      <w:r w:rsidRPr="00F67E8A">
        <w:rPr>
          <w:rFonts w:ascii="Book Antiqua" w:hAnsi="Book Antiqua"/>
        </w:rPr>
        <w:fldChar w:fldCharType="end"/>
      </w:r>
    </w:p>
  </w:footnote>
  <w:footnote w:id="5">
    <w:p w14:paraId="6CEDAA76" w14:textId="3A802109"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{"citationItems":[{"id":"ITEM-1","itemData":{"author":[{"dropping-particle":"","family":"Subyandono","given":"Eristo","non-dropping-particle":"","parse-names":false,"suffix":""}],"container-title":"Kompaspedia","id":"ITEM-1","issued":{"date-parts":[["2021"]]},"title":"Tujuh Kasus Teror Bom yang Guncang Indonesia","type":"webpage"},"uris":["http://www.mendeley.com/documents/?uuid=6a287ce5-4ad8-38dd-8adc-0606964af96d","http://www.mendeley.com/documents/?uuid=be79418b-3d5c-4d1b-af5d-184a27a7d876"]}],"mendeley":{"formattedCitation":"Eristo Subyandono, ‘Tujuh Kasus Teror Bom Yang Guncang Indonesia’, &lt;i&gt;Kompaspedia&lt;/i&gt;, 2021.","plainTextFormattedCitation":"Eristo Subyandono, ‘Tujuh Kasus Teror Bom Yang Guncang Indonesia’, Kompaspedia, 2021.","previouslyFormattedCitation":"Eristo Subyandono, ‘Tujuh Kasus Teror Bom Yang Guncang Indonesia’, &lt;i&gt;Kompaspedia&lt;/i&gt;, 2021 &lt;https://kompaspedia.kompas.id/baca/data/foto/teror-bom-yang-guncang-indonesia&gt; [accessed 25 December 2022]."},"properties":{"noteIndex":5},"schema":"https://github.com/citation-style-language/schema/raw/master/csl-citation.json"}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Eristo Subyandono, ‘Tujuh Kasus Teror Bom Yang Guncang Indonesia’, </w:t>
      </w:r>
      <w:r w:rsidRPr="00F67E8A">
        <w:rPr>
          <w:rFonts w:ascii="Book Antiqua" w:hAnsi="Book Antiqua"/>
          <w:i/>
          <w:noProof/>
        </w:rPr>
        <w:t>Kompaspedia</w:t>
      </w:r>
      <w:r w:rsidRPr="00F67E8A">
        <w:rPr>
          <w:rFonts w:ascii="Book Antiqua" w:hAnsi="Book Antiqua"/>
          <w:noProof/>
        </w:rPr>
        <w:t>, 2021.</w:t>
      </w:r>
      <w:r w:rsidRPr="00F67E8A">
        <w:rPr>
          <w:rFonts w:ascii="Book Antiqua" w:hAnsi="Book Antiqua"/>
        </w:rPr>
        <w:fldChar w:fldCharType="end"/>
      </w:r>
    </w:p>
  </w:footnote>
  <w:footnote w:id="6">
    <w:p w14:paraId="05D83765" w14:textId="278D259F"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Prabowo","given":"Haris","non-dropping-particle":"","parse-names":false,"suffix":""}],"container-title":"Tirto.id","id":"ITEM-1","issued":{"date-parts":[["2021"]]},"page":"https://tirto.id/membaca-terorisme-sekarang-di-ten","title":"Membaca Terorisme Sekarang: Di Tengah Pandemi dan Aksi Berpasangan","type":"webpage"},"uris":["http://www.mendeley.com/documents/?uuid=5e8fefc7-02e7-397f-8543-284439ee055c","http://www.mendeley.com/documents/?uuid=558830f5-1d84-41f2-8fae-46968f734e4a"]}],"mendeley":{"formattedCitation":"Haris Prabowo, ‘Membaca Terorisme Sekarang: Di Tengah Pandemi Dan Aksi Berpasangan’, &lt;i&gt;Tirto.Id&lt;/i&gt;, 2021, p. https://tirto.id/membaca-terorisme-sekarang-di-ten.","plainTextFormattedCitation":"Haris Prabowo, ‘Membaca Terorisme Sekarang: Di Tengah Pandemi Dan Aksi Berpasangan’, Tirto.Id, 2021, p. https://tirto.id/membaca-terorisme-sekarang-di-ten.","previouslyFormattedCitation":"Haris Prabowo, ‘Membaca Terorisme Sekarang: Di Tengah Pandemi Dan Aksi Berpasangan’, &lt;i&gt;Tirto.id&lt;/i&gt;, 2021, p. https://tirto.id/membaca – terorisme – sekarang – di – ten &lt;https://tirto.id/membaca-terorisme-sekarang-di-tengah-pandemi-dan-aksi-berpasangan-gbHs&gt; [accessed 4 August 2022]."},"properties":{"noteIndex":6},"schema":"https://github.com/citation-style-language/schema/raw/master/csl-citation.json"}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Haris Prabowo, ‘Membaca Terorisme Sekarang: Di Tengah Pandemi Dan Aksi Berpasangan’, </w:t>
      </w:r>
      <w:r w:rsidRPr="00F67E8A">
        <w:rPr>
          <w:rFonts w:ascii="Book Antiqua" w:hAnsi="Book Antiqua"/>
          <w:i/>
          <w:noProof/>
        </w:rPr>
        <w:t>Tirto.Id</w:t>
      </w:r>
      <w:r w:rsidRPr="00F67E8A">
        <w:rPr>
          <w:rFonts w:ascii="Book Antiqua" w:hAnsi="Book Antiqua"/>
          <w:noProof/>
        </w:rPr>
        <w:t>, 2021, p. https://tirto.id/membaca-terorisme-sekarang-di-ten.</w:t>
      </w:r>
      <w:r w:rsidRPr="00F67E8A">
        <w:rPr>
          <w:rFonts w:ascii="Book Antiqua" w:hAnsi="Book Antiqua"/>
        </w:rPr>
        <w:fldChar w:fldCharType="end"/>
      </w:r>
    </w:p>
  </w:footnote>
  <w:footnote w:id="7">
    <w:p w14:paraId="3E66BE2C" w14:textId="6B4AFA37"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10.18784/analisa.v4i01.792","author":[{"dropping-particle":"","family":"Gayatri","given":"Erin","non-dropping-particle":"","parse-names":false,"suffix":""},{"dropping-particle":"","family":"Kosasih","given":"Kustini","non-dropping-particle":"","parse-names":false,"suffix":""}],"container-title":"Analisa: Journal of Social Science and Religion","id":"ITEM-1","issue":"01","issued":{"date-parts":[["2019"]]},"page":"79-96","title":"Break the Chain of Terrorism Through Deradicalization of (Former) Terrorists’ Children: Narration From Al-Hidayah Pesantren, Medan","type":"article-journal","volume":"4"},"uris":["http://www.mendeley.com/documents/?uuid=47384c44-1a10-4546-9263-41b8fdc85bd0","http://www.mendeley.com/documents/?uuid=f16ef3b7-bb5b-4635-9ed9-434304d1ae5e"]}],"mendeley":{"formattedCitation":"Erin Gayatri and Kustini Kosasih, ‘Break the Chain of Terrorism Through Deradicalization of (Former) Terrorists’ Children: Narration From Al-Hidayah Pesantren, Medan’, &lt;i&gt;Analisa: Journal of Social Science and Religion&lt;/i&gt;, 4.01 (2019), 79–96 &lt;https://doi.org/10.18784/analisa.v4i01.792&gt;.","plainTextFormattedCitation":"Erin Gayatri and Kustini Kosasih, ‘Break the Chain of Terrorism Through Deradicalization of (Former) Terrorists’ Children: Narration From Al-Hidayah Pesantren, Medan’, Analisa: Journal of Social Science and Religion, 4.01 (2019), 79–96 .","previouslyFormattedCitation":"Erin Gayatri and Kustini Kosasih, ‘Break the Chain of Terrorism Through Deradicalization of (Former) Terrorists’ Children: Narration From Al-Hidayah Pesantren, Medan’, &lt;i&gt;Analisa: Journal of Social Science and Religion&lt;/i&gt;, 4.01 (2019), 79–96 &lt;https://doi.org/10.18784/analisa.v4i01.792&gt;."},"properties":{"noteIndex":7},"schema":"https://github.com/citation-style-language/schema/raw/master/csl-citation.json"}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Erin Gayatri and Kustini Kosasih, ‘Break the Chain of Terrorism Through Deradicalization of (Former) Terrorists’ Children: Narration From Al-Hidayah Pesantren, Medan’, </w:t>
      </w:r>
      <w:r w:rsidRPr="00F67E8A">
        <w:rPr>
          <w:rFonts w:ascii="Book Antiqua" w:hAnsi="Book Antiqua"/>
          <w:i/>
          <w:noProof/>
        </w:rPr>
        <w:t>Analisa: Journal of Social Science and Religion</w:t>
      </w:r>
      <w:r w:rsidRPr="00F67E8A">
        <w:rPr>
          <w:rFonts w:ascii="Book Antiqua" w:hAnsi="Book Antiqua"/>
          <w:noProof/>
        </w:rPr>
        <w:t>, 4.01 (2019), 79–96 &lt;https://doi.org/10.18784/analisa.v4i01.792&gt;.</w:t>
      </w:r>
      <w:r w:rsidRPr="00F67E8A">
        <w:rPr>
          <w:rFonts w:ascii="Book Antiqua" w:hAnsi="Book Antiqua"/>
        </w:rPr>
        <w:fldChar w:fldCharType="end"/>
      </w:r>
    </w:p>
  </w:footnote>
  <w:footnote w:id="8">
    <w:p w14:paraId="5CF5FA62" w14:textId="24079E26"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{"citationItems":[{"id":"ITEM-1","itemData":{"author":[{"dropping-particle":"","family":"Hermawan","given":"Bayu","non-dropping-particle":"","parse-names":false,"suffix":""}],"container-title":"Republika","id":"ITEM-1","issued":{"date-parts":[["2021"]]},"title":"Densus 88 Tangkap Seorang Terduga Teroris di Makassar | Republika Online","type":"webpage"},"uris":["http://www.mendeley.com/documents/?uuid=826d0599-ab7f-3a18-92ab-93561c62d6e7","http://www.mendeley.com/documents/?uuid=41f21816-468a-471a-b497-622073de5b49"]}],"mendeley":{"formattedCitation":"Bayu Hermawan, ‘Densus 88 Tangkap Seorang Terduga Teroris Di Makassar | Republika Online’, &lt;i&gt;Republika&lt;/i&gt;, 2021.","plainTextFormattedCitation":"Bayu Hermawan, ‘Densus 88 Tangkap Seorang Terduga Teroris Di Makassar | Republika Online’, Republika, 2021.","previouslyFormattedCitation":"Bayu Hermawan, ‘Densus 88 Tangkap Seorang Terduga Teroris Di Makassar | Republika Online’, &lt;i&gt;Republika&lt;/i&gt;, 2021 &lt;https://www.republika.co.id/berita/qx23g5354/densus-88-tangkap-seorang-terduga-teroris-di-makassar&gt; [accessed 4 August 2022]."},"properties":{"noteIndex":8},"schema":"https://github.com/citation-style-language/schema/raw/master/csl-citation.json"}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Bayu Hermawan, ‘Densus 88 Tangkap Seorang Terduga Teroris Di Makassar | Republika Online’, </w:t>
      </w:r>
      <w:r w:rsidRPr="00F67E8A">
        <w:rPr>
          <w:rFonts w:ascii="Book Antiqua" w:hAnsi="Book Antiqua"/>
          <w:i/>
          <w:noProof/>
        </w:rPr>
        <w:t>Republika</w:t>
      </w:r>
      <w:r w:rsidRPr="00F67E8A">
        <w:rPr>
          <w:rFonts w:ascii="Book Antiqua" w:hAnsi="Book Antiqua"/>
          <w:noProof/>
        </w:rPr>
        <w:t>, 2021.</w:t>
      </w:r>
      <w:r w:rsidRPr="00F67E8A">
        <w:rPr>
          <w:rFonts w:ascii="Book Antiqua" w:hAnsi="Book Antiqua"/>
        </w:rPr>
        <w:fldChar w:fldCharType="end"/>
      </w:r>
    </w:p>
  </w:footnote>
  <w:footnote w:id="9">
    <w:p w14:paraId="55CE07EF" w14:textId="78A9C005"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{"citationItems":[{"id":"ITEM-1","itemData":{"DOI":"10.25157/JIGJ.V5I1.281","abstract":"Terorisme merupakan suatu tindak kejahatan luar biasa yang menjadi perhatian dunia dewasa ini yang digolongan terhadap kejahatan kemanusiaan (Crime Against Humanity), Kejahatan terorisme merupakan salah satu bentuk kejahatan berdimensi internasional yang sangat menakutkan masyarakat baik masyarakat regional maupun masyarakat internasional. Di berbagai negara di dunia telah terjadi kejahatan terorisme baik di negara maju maupun negara-negara sedang berkembang, aksi-aksi teror yang dilakukan telah memakan korban tanpa pandang bulu. Kajian Tindak Pidana Terorisme Dalam Presfektif Hukum Pidana Internasional merupakan sebuah bentuk kejahatan yang bukan hanya mengancam bagi keselamatan individu namun merupakan ancaman bagi kedaulatan negara. Terlepas dari hal tersebut definisi terorisme di dunia belum memiliki keseragaman tentunya karena adanya suata pandangan ideologi yang berbeda-beda dari setiap negara terhadap tindak pidana terorisme. Dalam ranah internasional PBB memberikan suatu perlindungan hukum guna adanya kepastian hukum meskipun PBB belum menetapkan bahwa tindak pidana terorisme merupakan kejahatan internasional. Kata kunci : Terorisme, Pidana, Internasional","author":[{"dropping-particle":"","family":"Komariah","given":"Mamay","non-dropping-particle":"","parse-names":false,"suffix":""}],"container-title":"Jurnal Ilmiah Galuh Justisi","id":"ITEM-1","issue":"1","issued":{"date-parts":[["2017","6"]]},"page":"97-112","publisher":"Universitas Galuh Ciamis","title":"Kajian Tindak Pidana Terorisme dalam Perpektif Hukum Pidana Internasional","type":"article-journal","volume":"5"},"uris":["http://www.mendeley.com/documents/?uuid=9bcb2e9b-b1f2-3398-89ac-6c208cd2af12","http://www.mendeley.com/documents/?uuid=1df71b15-6a7c-4adc-8a68-e760974464e0"]},{"id":"ITEM-2","itemData":{"author":[{"dropping-particle":"","family":"Stahn","given":"Carsten","non-dropping-particle":"","parse-names":false,"suffix":""}],"id":"ITEM-2","issued":{"date-parts":[["2019"]]},"number-of-pages":"187","publisher":"Cambridge University Press","title":"A Critical Introduction to International Criminal Law - Carsten Stahn - Google Books","type":"book"},"uris":["http://www.mendeley.com/documents/?uuid=b8454622-ef1e-3318-9907-49beff3e08d0","http://www.mendeley.com/documents/?uuid=1929365d-74bd-4b8e-b910-2d2b340f8d39"]}],"mendeley":{"formattedCitation":"Mamay Komariah, ‘Kajian Tindak Pidana Terorisme Dalam Perpektif Hukum Pidana Internasional’, &lt;i&gt;Jurnal Ilmiah Galuh Justisi&lt;/i&gt;, 5.1 (2017), 97–112 &lt;https://doi.org/10.25157/JIGJ.V5I1.281&gt;; Carsten Stahn, &lt;i&gt;A Critical Introduction to International Criminal Law - Carsten Stahn - Google Books&lt;/i&gt; (Cambridge University Press, 2019).","plainTextFormattedCitation":"Mamay Komariah, ‘Kajian Tindak Pidana Terorisme Dalam Perpektif Hukum Pidana Internasional’, Jurnal Ilmiah Galuh Justisi, 5.1 (2017), 97–112 ; Carsten Stahn, A Critical Introduction to International Criminal Law - Carsten Stahn - Google Books (Cambridge University Press, 2019).","previouslyFormattedCitation":"Mamay Komariah, ‘Kajian Tindak Pidana Terorisme Dalam Perpektif Hukum Pidana Internasional’, &lt;i&gt;Jurnal Ilmiah Galuh Justisi&lt;/i&gt;, 5.1 (2017), 97–112 &lt;https://doi.org/10.25157/JIGJ.V5I1.281&gt;; Carsten Stahn, &lt;i&gt;A Critical Introduction to International Criminal Law - Carsten Stahn - Google Books&lt;/i&gt; (Cambridge University Press, 2019) &lt;https://books.google.co.id/books?hl=en&amp;lr=&amp;id=1FN-DwAAQBAJ&amp;oi=fnd&amp;pg=PR13&amp;dq=Study+of+Criminal+Acts+of+Terrorism+in+the+Perspective+of+International+Criminal+Law&amp;ots=6CY08wpXMx&amp;sig=QwrwMAm5wwyWgMxAGo56H40j4qM&amp;redir_esc=y#v=onepage&amp;q=Study of Criminal Acts&gt; [accessed 3 January 2023]."},"properties":{"noteIndex":9},"schema":"https://github.com/citation-style-language/schema/raw/master/csl-citation.json"}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Mamay Komariah, ‘Kajian Tindak Pidana Terorisme Dalam Perpektif Hukum Pidana Internasional’, </w:t>
      </w:r>
      <w:r w:rsidRPr="00F67E8A">
        <w:rPr>
          <w:rFonts w:ascii="Book Antiqua" w:hAnsi="Book Antiqua"/>
          <w:i/>
          <w:noProof/>
        </w:rPr>
        <w:t>Jurnal Ilmiah Galuh Justisi</w:t>
      </w:r>
      <w:r w:rsidRPr="00F67E8A">
        <w:rPr>
          <w:rFonts w:ascii="Book Antiqua" w:hAnsi="Book Antiqua"/>
          <w:noProof/>
        </w:rPr>
        <w:t xml:space="preserve">, 5.1 (2017), 97–112 &lt;https://doi.org/10.25157/JIGJ.V5I1.281&gt;; Carsten Stahn, </w:t>
      </w:r>
      <w:r w:rsidRPr="00F67E8A">
        <w:rPr>
          <w:rFonts w:ascii="Book Antiqua" w:hAnsi="Book Antiqua"/>
          <w:i/>
          <w:noProof/>
        </w:rPr>
        <w:t>A Critical Introduction to International Criminal Law - Carsten Stahn - Google Books</w:t>
      </w:r>
      <w:r w:rsidRPr="00F67E8A">
        <w:rPr>
          <w:rFonts w:ascii="Book Antiqua" w:hAnsi="Book Antiqua"/>
          <w:noProof/>
        </w:rPr>
        <w:t xml:space="preserve"> (Cambridge University Press, 2019).</w:t>
      </w:r>
      <w:r w:rsidRPr="00F67E8A">
        <w:rPr>
          <w:rFonts w:ascii="Book Antiqua" w:hAnsi="Book Antiqua"/>
        </w:rPr>
        <w:fldChar w:fldCharType="end"/>
      </w:r>
    </w:p>
  </w:footnote>
  <w:footnote w:id="10">
    <w:p w14:paraId="68BE10D9" w14:textId="02ED1EFD"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{"citationItems":[{"id":"ITEM-1","itemData":{"author":[{"dropping-particle":"","family":"Zulfikar","given":"Muhammad","non-dropping-particle":"","parse-names":false,"suffix":""}],"container-title":"Antaranews","id":"ITEM-1","issued":{"date-parts":[["2021"]]},"title":"BNPT ungkap internet tantangan penanganan terorisme di masa pandemi - ANTARA News","type":"webpage"},"uris":["http://www.mendeley.com/documents/?uuid=5b6f544c-f9c5-3400-a594-344f5b93daf3","http://www.mendeley.com/documents/?uuid=ed7ce4e1-98b5-4abb-b688-1b7c7bedeed9"]}],"mendeley":{"formattedCitation":"Muhammad Zulfikar, ‘BNPT Ungkap Internet Tantangan Penanganan Terorisme Di Masa Pandemi - ANTARA News’, &lt;i&gt;Antaranews&lt;/i&gt;, 2021.","plainTextFormattedCitation":"Muhammad Zulfikar, ‘BNPT Ungkap Internet Tantangan Penanganan Terorisme Di Masa Pandemi - ANTARA News’, Antaranews, 2021.","previouslyFormattedCitation":"Muhammad Zulfikar, ‘BNPT Ungkap Internet Tantangan Penanganan Terorisme Di Masa Pandemi - ANTARA News’, &lt;i&gt;Antaranews&lt;/i&gt;, 2021 &lt;https://www.antaranews.com/berita/2243362/bnpt-ungkap-internet-tantangan-penanganan-terorisme-di-masa-pandemi&gt; [accessed 15 March 2022]."},"properties":{"noteIndex":10},"schema":"https://github.com/citation-style-language/schema/raw/master/csl-citation.json"}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Muhammad Zulfikar, ‘BNPT Ungkap Internet Tantangan Penanganan Terorisme Di Masa Pandemi - ANTARA News’, </w:t>
      </w:r>
      <w:r w:rsidRPr="00F67E8A">
        <w:rPr>
          <w:rFonts w:ascii="Book Antiqua" w:hAnsi="Book Antiqua"/>
          <w:i/>
          <w:noProof/>
        </w:rPr>
        <w:t>Antaranews</w:t>
      </w:r>
      <w:r w:rsidRPr="00F67E8A">
        <w:rPr>
          <w:rFonts w:ascii="Book Antiqua" w:hAnsi="Book Antiqua"/>
          <w:noProof/>
        </w:rPr>
        <w:t>, 2021.</w:t>
      </w:r>
      <w:r w:rsidRPr="00F67E8A">
        <w:rPr>
          <w:rFonts w:ascii="Book Antiqua" w:hAnsi="Book Antiqua"/>
        </w:rPr>
        <w:fldChar w:fldCharType="end"/>
      </w:r>
    </w:p>
  </w:footnote>
  <w:footnote w:id="11">
    <w:p w14:paraId="34443435" w14:textId="228FE992"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Prabowo","given":"Haris","non-dropping-particle":"","parse-names":false,"suffix":""}],"container-title":"Tirto.id","id":"ITEM-1","issued":{"date-parts":[["2021"]]},"page":"https://tirto.id/membaca-terorisme-sekarang-di-ten","title":"Membaca Terorisme Sekarang: Di Tengah Pandemi dan Aksi Berpasangan","type":"webpage"},"uris":["http://www.mendeley.com/documents/?uuid=558830f5-1d84-41f2-8fae-46968f734e4a","http://www.mendeley.com/documents/?uuid=5e8fefc7-02e7-397f-8543-284439ee055c"]}],"mendeley":{"formattedCitation":"Prabowo.","plainTextFormattedCitation":"Prabowo.","previouslyFormattedCitation":"Prabowo."},"properties":{"noteIndex":11},"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Prabowo.</w:t>
      </w:r>
      <w:r w:rsidRPr="00F67E8A">
        <w:rPr>
          <w:rFonts w:ascii="Book Antiqua" w:hAnsi="Book Antiqua"/>
        </w:rPr>
        <w:fldChar w:fldCharType="end"/>
      </w:r>
    </w:p>
  </w:footnote>
  <w:footnote w:id="12">
    <w:p w14:paraId="575D6F82" w14:textId="12B020A2"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{"citationItems":[{"id":"ITEM-1","itemData":{"author":[{"dropping-particle":"","family":"Gregory","given":"Frank","non-dropping-particle":"","parse-names":false,"suffix":""}],"container-title":"Real Instituto Elcano","id":"ITEM-1","issued":{"date-parts":[["2005"]]},"page":"12","title":"Intelligence led Counter-terrorism: A Brief Analysis of the UK Domestic Intelligence System’s Response to 9/11 and the Implications of the London Bombings of 7 July 2005","type":"article-journal","volume":"94"},"uris":["http://www.mendeley.com/documents/?uuid=c973953e-8e75-463b-8b26-331442a7f26c","http://www.mendeley.com/documents/?uuid=1154221d-a916-49de-9329-51b662de6c6c"]}],"mendeley":{"formattedCitation":"Frank Gregory, ‘Intelligence Led Counter-Terrorism: A Brief Analysis of the UK Domestic Intelligence System’s Response to 9/11 and the Implications of the London Bombings of 7 July 2005’, &lt;i&gt;Real Instituto Elcano&lt;/i&gt;, 94 (2005), 12.","plainTextFormattedCitation":"Frank Gregory, ‘Intelligence Led Counter-Terrorism: A Brief Analysis of the UK Domestic Intelligence System’s Response to 9/11 and the Implications of the London Bombings of 7 July 2005’, Real Instituto Elcano, 94 (2005), 12.","previouslyFormattedCitation":"Frank Gregory, ‘Intelligence Led Counter-Terrorism: A Brief Analysis of the UK Domestic Intelligence System’s Response to 9/11 and the Implications of the London Bombings of 7 July 2005’, &lt;i&gt;Real Instituto Elcano&lt;/i&gt;, 94 (2005), 12."},"properties":{"noteIndex":12},"schema":"https://github.com/citation-style-language/schema/raw/master/csl-citation.json"}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Frank Gregory, ‘Intelligence Led Counter-Terrorism: A Brief Analysis of the UK Domestic Intelligence System’s Response to 9/11 and the Implications of the London Bombings of 7 July 2005’, Real Instituto Elcano, 94 (2005), 12.</w:t>
      </w:r>
      <w:r w:rsidRPr="00F67E8A">
        <w:rPr>
          <w:rFonts w:ascii="Book Antiqua" w:hAnsi="Book Antiqua"/>
        </w:rPr>
        <w:fldChar w:fldCharType="end"/>
      </w:r>
    </w:p>
  </w:footnote>
  <w:footnote w:id="13">
    <w:p w14:paraId="6507AC98" w14:textId="772FC52D"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{"citationItems":[{"id":"ITEM-1","itemData":{"author":[{"dropping-particle":"","family":"Riyanta","given":"Stanislaus","non-dropping-particle":"","parse-names":false,"suffix":""}],"container-title":"Jurnal Intelijen","id":"ITEM-1","issued":{"date-parts":[["2015"]]},"title":"Peran Intelijen dalam Penanggulangan Terorisme di Indonesia | Jurnal Intelijen","type":"webpage"},"uris":["http://www.mendeley.com/documents/?uuid=ccc57f3b-8dc6-3766-91ab-559508d22872","http://www.mendeley.com/documents/?uuid=27c0250c-304a-43ed-8fa4-8bc75259f6d7"]}],"mendeley":{"formattedCitation":"Stanislaus Riyanta, ‘Peran Intelijen Dalam Penanggulangan Terorisme Di Indonesia | Jurnal Intelijen’, &lt;i&gt;Jurnal Intelijen&lt;/i&gt;, 2015.","plainTextFormattedCitation":"Stanislaus Riyanta, ‘Peran Intelijen Dalam Penanggulangan Terorisme Di Indonesia | Jurnal Intelijen’, Jurnal Intelijen, 2015.","previouslyFormattedCitation":"Stanislaus Riyanta, ‘Peran Intelijen Dalam Penanggulangan Terorisme Di Indonesia | Jurnal Intelijen’, &lt;i&gt;Jurnal Intelijen&lt;/i&gt;, 2015 &lt;https://jurnalintelijen.net/2015/07/06/peran-intelijen-dalam-penanggulangan-terorisme-di-indonesia/&gt; [accessed 15 March 2022]."},"properties":{"noteIndex":13},"schema":"https://github.com/citation-style-language/schema/raw/master/csl-citation.json"}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Stanislaus Riyanta, ‘Peran Intelijen Dalam Penanggulangan Terorisme Di Indonesia | Jurnal Intelijen’, </w:t>
      </w:r>
      <w:r w:rsidRPr="00F67E8A">
        <w:rPr>
          <w:rFonts w:ascii="Book Antiqua" w:hAnsi="Book Antiqua"/>
          <w:i/>
          <w:noProof/>
        </w:rPr>
        <w:t>Jurnal Intelijen</w:t>
      </w:r>
      <w:r w:rsidRPr="00F67E8A">
        <w:rPr>
          <w:rFonts w:ascii="Book Antiqua" w:hAnsi="Book Antiqua"/>
          <w:noProof/>
        </w:rPr>
        <w:t>, 2015.</w:t>
      </w:r>
      <w:r w:rsidRPr="00F67E8A">
        <w:rPr>
          <w:rFonts w:ascii="Book Antiqua" w:hAnsi="Book Antiqua"/>
        </w:rPr>
        <w:fldChar w:fldCharType="end"/>
      </w:r>
    </w:p>
  </w:footnote>
  <w:footnote w:id="14">
    <w:p w14:paraId="1F2FD4D5" w14:textId="78B502BF"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{"citationItems":[{"id":"ITEM-1","itemData":{"author":[{"dropping-particle":"","family":"Dwi Andayani","given":"","non-dropping-particle":"","parse-names":false,"suffix":""}],"container-title":"Detik News","id":"ITEM-1","issued":{"date-parts":[["2021"]]},"title":"Conceptualising Terrorism Trend Patterns in Pakistan - an Empirical Perspective on JSTOR","type":"article-newspaper"},"uris":["http://www.mendeley.com/documents/?uuid=7768e046-e4db-3b0a-a45b-d8ae3e7d2da2","http://www.mendeley.com/documents/?uuid=45829cee-f6f4-42ec-8135-7702ebfbf8f8"]}],"mendeley":{"formattedCitation":"Dwi Andayani, ‘Conceptualising Terrorism Trend Patterns in Pakistan - an Empirical Perspective on JSTOR’, &lt;i&gt;Detik News&lt;/i&gt;, 2021.","manualFormatting":"(Andayani, 2021)","plainTextFormattedCitation":"Dwi Andayani, ‘Conceptualising Terrorism Trend Patterns in Pakistan - an Empirical Perspective on JSTOR’, Detik News, 2021.","previouslyFormattedCitation":"Dwi Andayani, ‘Conceptualising Terrorism Trend Patterns in Pakistan - an Empirical Perspective on JSTOR’, &lt;i&gt;Detik News&lt;/i&gt;, 2021 &lt;https://www.jstor.org/stable/26296909?seq=1#metadata_info_tab_contents&gt; [accessed 17 January 2022]."},"properties":{"noteIndex":14},"schema":"https://github.com/citation-style-language/schema/raw/master/csl-citation.json"}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(Andayani, 2021)</w:t>
      </w:r>
      <w:r w:rsidRPr="00F67E8A">
        <w:rPr>
          <w:rFonts w:ascii="Book Antiqua" w:hAnsi="Book Antiqua"/>
        </w:rPr>
        <w:fldChar w:fldCharType="end"/>
      </w:r>
    </w:p>
  </w:footnote>
  <w:footnote w:id="15">
    <w:p w14:paraId="3764A5A2" w14:textId="4705DDF5"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{"citationItems":[{"id":"ITEM-1","itemData":{"DOI":"10.1080/02684527.2020.1750166","ISSN":"17439019","abstract":"This article introduces the Special Issue on Global Health Security. It provides an overview of the health security threat spectrum, tracing how perceptions of biological and health security threats have evolved in broad terms over the last century from deliberately introduced disease outbreaks to also incorporate natural disease outbreaks, unintended consequences of research, laboratory accidents, lack of awareness, negligence, and convergence of emerging technologies. This spectrum of threats has led to an expansion of the stakeholders and tools involved in intelligence gathering and threat assessments. The article argues that to strengthen global health security and health intelligence, the traditional state-based intelligence community must actively engage with non-security stakeholders and incorporate space for new sources of intelligence. The aim of the Special Issue is to contribute to the larger effort of developing a multidisciplinary, empirically informed and policy-relevant approach to intelligence-academia engagement in global health security that serves both the intelligence community and scholars from a broad range of disciplines.","author":[{"dropping-particle":"","family":"Lentzos","given":"Filippa","non-dropping-particle":"","parse-names":false,"suffix":""},{"dropping-particle":"","family":"Goodman","given":"Michael S.","non-dropping-particle":"","parse-names":false,"suffix":""},{"dropping-particle":"","family":"Wilson","given":"James M.","non-dropping-particle":"","parse-names":false,"suffix":""}],"container-title":"Intelligence and National Security","id":"ITEM-1","issue":"4","issued":{"date-parts":[["2020"]]},"page":"465-476","publisher":"Routledge","title":"Health Security Intelligence: engaging across disciplines and sectors","type":"article-journal","volume":"35"},"uris":["http://www.mendeley.com/documents/?uuid=f2585c4c-f7e1-48cf-bd30-178c394f7bd4","http://www.mendeley.com/documents/?uuid=204dac2d-228e-44b2-84d8-56771aebfabb"]}],"mendeley":{"formattedCitation":"Filippa Lentzos, Michael S. Goodman, and James M. Wilson, ‘Health Security Intelligence: Engaging across Disciplines and Sectors’, &lt;i&gt;Intelligence and National Security&lt;/i&gt;, 35.4 (2020), 465–76 &lt;https://doi.org/10.1080/02684527.2020.1750166&gt;.","plainTextFormattedCitation":"Filippa Lentzos, Michael S. Goodman, and James M. Wilson, ‘Health Security Intelligence: Engaging across Disciplines and Sectors’, Intelligence and National Security, 35.4 (2020), 465–76 .","previouslyFormattedCitation":"Filippa Lentzos, Michael S. Goodman, and James M. Wilson, ‘Health Security Intelligence: Engaging across Disciplines and Sectors’, &lt;i&gt;Intelligence and National Security&lt;/i&gt;, 35.4 (2020), 465–76 &lt;https://doi.org/10.1080/02684527.2020.1750166&gt;."},"properties":{"noteIndex":15},"schema":"https://github.com/citation-style-language/schema/raw/master/csl-citation.json"}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Filippa Lentzos, Michael S. Goodman, and James M. Wilson, ‘Health Security Intelligence: Engaging across Disciplines and Sectors’, </w:t>
      </w:r>
      <w:r w:rsidRPr="00F67E8A">
        <w:rPr>
          <w:rFonts w:ascii="Book Antiqua" w:hAnsi="Book Antiqua"/>
          <w:i/>
          <w:noProof/>
        </w:rPr>
        <w:t>Intelligence and National Security</w:t>
      </w:r>
      <w:r w:rsidRPr="00F67E8A">
        <w:rPr>
          <w:rFonts w:ascii="Book Antiqua" w:hAnsi="Book Antiqua"/>
          <w:noProof/>
        </w:rPr>
        <w:t>, 35.4 (2020), 465–76 &lt;https://doi.org/10.1080/02684527.2020.1750166&gt;.</w:t>
      </w:r>
      <w:r w:rsidRPr="00F67E8A">
        <w:rPr>
          <w:rFonts w:ascii="Book Antiqua" w:hAnsi="Book Antiqua"/>
        </w:rPr>
        <w:fldChar w:fldCharType="end"/>
      </w:r>
    </w:p>
  </w:footnote>
  <w:footnote w:id="16">
    <w:p w14:paraId="7C9CCF09" w14:textId="2BD46C4E"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{"citationItems":[{"id":"ITEM-1","itemData":{"author":[{"dropping-particle":"","family":"Downs","given":"Anthony","non-dropping-particle":"","parse-names":false,"suffix":""}],"id":"ITEM-1","issue":"4646","issued":{"date-parts":[["1966"]]},"publisher":"Rand Corporation Santa Monica, CA","title":"Bureaucratic structure and decision-making","type":"book"},"uris":["http://www.mendeley.com/documents/?uuid=371d6177-61bc-4feb-9952-620a73581195","http://www.mendeley.com/documents/?uuid=a18f0d22-64ca-4e1a-be54-8649622f0fc1"]},{"id":"ITEM-2","itemData":{"DOI":"10.1057/978-1-137-57267-7_7","author":[{"dropping-particle":"","family":"McConaghy","given":"Kieran","non-dropping-particle":"","parse-names":false,"suffix":""}],"container-title":"Terrorism and the State","id":"ITEM-2","issued":{"date-parts":[["2017"]]},"page":"129-139","publisher":"Palgrave Macmillan, London","title":"Intra-State Cooperation and Competition on Counterterrorism","type":"article-journal"},"uris":["http://www.mendeley.com/documents/?uuid=14021ba1-745d-329e-80af-594b55629792","http://www.mendeley.com/documents/?uuid=73819ad0-9594-4c67-b324-546d4c6ea3ef"]},{"id":"ITEM-3","itemData":{"ISSN":"0149-2063","author":[{"dropping-particle":"","family":"Provan","given":"Keith G","non-dropping-particle":"","parse-names":false,"suffix":""},{"dropping-particle":"","family":"Fish","given":"Amy","non-dropping-particle":"","parse-names":false,"suffix":""},{"dropping-particle":"","family":"Sydow","given":"Joerg","non-dropping-particle":"","parse-names":false,"suffix":""}],"container-title":"Journal of management","id":"ITEM-3","issue":"3","issued":{"date-parts":[["2007"]]},"page":"479-516","publisher":"Sage Publications Sage CA: Los Angeles, CA","title":"Interorganizational networks at the network level: A review of the empirical literature on whole networks","type":"article-journal","volume":"33"},"uris":["http://www.mendeley.com/documents/?uuid=99b402b5-a1be-4144-8a43-b3bd6a83828b","http://www.mendeley.com/documents/?uuid=6aa3fbd2-8b72-4c37-ba52-335fee01e115"]},{"id":"ITEM-4","itemData":{"ISBN":"9781589011540","abstract":"Public networks -- Networks in public management -- Toward a network typology : study methodology -- Informational and developmental networks -- Outreach and action networks -- Collaborarchy : a different kind of management? -- Networks as knowledge managers -- Network performance : about adding value and accounting costs -- How networks work at the boundaries of the state -- Managing in public networks.","author":[{"dropping-particle":"","family":"Agranoff","given":"Robert.","non-dropping-particle":"","parse-names":false,"suffix":""}],"id":"ITEM-4","issued":{"date-parts":[["2007"]]},"number-of-pages":"274","publisher":"Georgetown University Press","title":"Managing within networks: adding value to public organizations","type":"book"},"uris":["http://www.mendeley.com/documents/?uuid=522bcfb7-1aa8-3563-bba7-52968c4575a0","http://www.mendeley.com/documents/?uuid=215b48cd-0ce4-4d14-9c4e-a40ecb354362"]},{"id":"ITEM-5","itemData":{"author":[{"dropping-particle":"","family":"Molina","given":"Ignacio","non-dropping-particle":"","parse-names":false,"suffix":""},{"dropping-particle":"","family":"Colino","given":"Cesar","non-dropping-particle":"","parse-names":false,"suffix":""}],"container-title":"Public Administration","id":"ITEM-5","issue":"1","issued":{"date-parts":[["2000"]]},"page":"233-241","title":"Teaching Public Administration in Spain: A review article","type":"article-journal","volume":"78"},"uris":["http://www.mendeley.com/documents/?uuid=8e39074b-bc4e-3a22-b1b1-5cf7ed97d942","http://www.mendeley.com/documents/?uuid=d75cb483-701c-4c94-b647-5d1853501c4e"]}],"mendeley":{"formattedCitation":"Anthony Downs, &lt;i&gt;Bureaucratic Structure and Decision-Making&lt;/i&gt; (Rand Corporation Santa Monica, CA, 1966); Kieran McConaghy, ‘Intra-State Cooperation and Competition on Counterterrorism’, &lt;i&gt;Terrorism and the State&lt;/i&gt;, 2017, 129–39 &lt;https://doi.org/10.1057/978-1-137-57267-7_7&gt;; Keith G Provan, Amy Fish, and Joerg Sydow, ‘Interorganizational Networks at the Network Level: A Review of the Empirical Literature on Whole Networks’, &lt;i&gt;Journal of Management&lt;/i&gt;, 33.3 (2007), 479–516; Robert. Agranoff, &lt;i&gt;Managing within Networks: Adding Value to Public Organizations&lt;/i&gt; (Georgetown University Press, 2007); Ignacio Molina and Cesar Colino, ‘Teaching Public Administration in Spain: A Review Article’, &lt;i&gt;Public Administration&lt;/i&gt;, 78.1 (2000), 233–41.","plainTextFormattedCitation":"Anthony Downs, Bureaucratic Structure and Decision-Making (Rand Corporation Santa Monica, CA, 1966); Kieran McConaghy, ‘Intra-State Cooperation and Competition on Counterterrorism’, Terrorism and the State, 2017, 129–39 ; Keith G Provan, Amy Fish, and Joerg Sydow, ‘Interorganizational Networks at the Network Level: A Review of the Empirical Literature on Whole Networks’, Journal of Management, 33.3 (2007), 479–516; Robert. Agranoff, Managing within Networks: Adding Value to Public Organizations (Georgetown University Press, 2007); Ignacio Molina and Cesar Colino, ‘Teaching Public Administration in Spain: A Review Article’, Public Administration, 78.1 (2000), 233–41.","previouslyFormattedCitation":"Anthony Downs, &lt;i&gt;Bureaucratic Structure and Decision-Making&lt;/i&gt; (Rand Corporation Santa Monica, CA, 1966); Kieran McConaghy, ‘Intra-State Cooperation and Competition on Counterterrorism’, &lt;i&gt;Terrorism and the State&lt;/i&gt;, 2017, 129–39 &lt;https://doi.org/10.1057/978-1-137-57267-7_7&gt;; Keith G Provan, Amy Fish, and Joerg Sydow, ‘Interorganizational Networks at the Network Level: A Review of the Empirical Literature on Whole Networks’, &lt;i&gt;Journal of Management&lt;/i&gt;, 33.3 (2007), 479–516; Robert. Agranoff, &lt;i&gt;Managing within Networks: Adding Value to Public Organizations&lt;/i&gt; (Georgetown University Press, 2007); Ignacio Molina and Cesar Colino, ‘Teaching Public Administration in Spain: A Review Article’, &lt;i&gt;Public Administration&lt;/i&gt;, 78.1 (2000), 233–41."},"properties":{"noteIndex":16},"schema":"https://github.com/citation-style-language/schema/raw/master/csl-citation.json"}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Anthony Downs, </w:t>
      </w:r>
      <w:r w:rsidRPr="00F67E8A">
        <w:rPr>
          <w:rFonts w:ascii="Book Antiqua" w:hAnsi="Book Antiqua"/>
          <w:i/>
          <w:noProof/>
        </w:rPr>
        <w:t>Bureaucratic Structure and Decision-Making</w:t>
      </w:r>
      <w:r w:rsidRPr="00F67E8A">
        <w:rPr>
          <w:rFonts w:ascii="Book Antiqua" w:hAnsi="Book Antiqua"/>
          <w:noProof/>
        </w:rPr>
        <w:t xml:space="preserve"> (Rand Corporation Santa Monica, CA, 1966); Kieran McConaghy, ‘Intra-State Cooperation and Competition on Counterterrorism’, </w:t>
      </w:r>
      <w:r w:rsidRPr="00F67E8A">
        <w:rPr>
          <w:rFonts w:ascii="Book Antiqua" w:hAnsi="Book Antiqua"/>
          <w:i/>
          <w:noProof/>
        </w:rPr>
        <w:t>Terrorism and the State</w:t>
      </w:r>
      <w:r w:rsidRPr="00F67E8A">
        <w:rPr>
          <w:rFonts w:ascii="Book Antiqua" w:hAnsi="Book Antiqua"/>
          <w:noProof/>
        </w:rPr>
        <w:t xml:space="preserve">, 2017, 129–39 &lt;https://doi.org/10.1057/978-1-137-57267-7_7&gt;; Keith G Provan, Amy Fish, and Joerg Sydow, ‘Interorganizational Networks at the Network Level: A Review of the Empirical Literature on Whole Networks’, </w:t>
      </w:r>
      <w:r w:rsidRPr="00F67E8A">
        <w:rPr>
          <w:rFonts w:ascii="Book Antiqua" w:hAnsi="Book Antiqua"/>
          <w:i/>
          <w:noProof/>
        </w:rPr>
        <w:t>Journal of Management</w:t>
      </w:r>
      <w:r w:rsidRPr="00F67E8A">
        <w:rPr>
          <w:rFonts w:ascii="Book Antiqua" w:hAnsi="Book Antiqua"/>
          <w:noProof/>
        </w:rPr>
        <w:t xml:space="preserve">, 33.3 (2007), 479–516; Robert. Agranoff, </w:t>
      </w:r>
      <w:r w:rsidRPr="00F67E8A">
        <w:rPr>
          <w:rFonts w:ascii="Book Antiqua" w:hAnsi="Book Antiqua"/>
          <w:i/>
          <w:noProof/>
        </w:rPr>
        <w:t>Managing within Networks: Adding Value to Public Organizations</w:t>
      </w:r>
      <w:r w:rsidRPr="00F67E8A">
        <w:rPr>
          <w:rFonts w:ascii="Book Antiqua" w:hAnsi="Book Antiqua"/>
          <w:noProof/>
        </w:rPr>
        <w:t xml:space="preserve"> (Georgetown University Press, 2007); Ignacio Molina and Cesar Colino, ‘Teaching Public Administration in Spain: A Review Article’, </w:t>
      </w:r>
      <w:r w:rsidRPr="00F67E8A">
        <w:rPr>
          <w:rFonts w:ascii="Book Antiqua" w:hAnsi="Book Antiqua"/>
          <w:i/>
          <w:noProof/>
        </w:rPr>
        <w:t>Public Administration</w:t>
      </w:r>
      <w:r w:rsidRPr="00F67E8A">
        <w:rPr>
          <w:rFonts w:ascii="Book Antiqua" w:hAnsi="Book Antiqua"/>
          <w:noProof/>
        </w:rPr>
        <w:t>, 78.1 (2000), 233–41.</w:t>
      </w:r>
      <w:r w:rsidRPr="00F67E8A">
        <w:rPr>
          <w:rFonts w:ascii="Book Antiqua" w:hAnsi="Book Antiqua"/>
        </w:rPr>
        <w:fldChar w:fldCharType="end"/>
      </w:r>
    </w:p>
  </w:footnote>
  <w:footnote w:id="17">
    <w:p w14:paraId="0F8FBA6D" w14:textId="1D5396F2"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{"citationItems":[{"id":"ITEM-1","itemData":{"DOI":"10.1080/08850607.2016.1121042","ISSN":"15210561","abstract":"The summer of 2015 heralded the beginning of “Year Two” of the U.S.-led international coalition's airstrikes against Islamic State (IS)—also known interchangeably as the Islamic State of Iraq and a...","author":[{"dropping-particle":"","family":"Svendsen","given":"Adam D.M.","non-dropping-particle":"","parse-names":false,"suffix":""}],"container-title":"International Journal of Intelligence and CounterIntelligence","id":"ITEM-1","issue":"2","issued":{"date-parts":[["2016","4"]]},"page":"260-277","publisher":"Routledge","title":"Developing International Intelligence Liaison Against Islamic State: Approaching “One for All and All for One”?","type":"article-journal","volume":"29"},"uris":["http://www.mendeley.com/documents/?uuid=012844fb-d35e-3b90-945b-4112a94f7145","http://www.mendeley.com/documents/?uuid=f5ad98f6-1b9b-4fe6-9a12-a2bd439e21bb"]},{"id":"ITEM-2","itemData":{"ISSN":"2070-0083","author":[{"dropping-particle":"","family":"Ogbeide","given":"Uyi-Ekpen","non-dropping-particle":"","parse-names":false,"suffix":""}],"container-title":"African Research Review","id":"ITEM-2","issue":"6","issued":{"date-parts":[["2011"]]},"page":"239-248","title":"Inter-agency cooperation in combating terrorism in Nigeria: Enhancing existing instruments and frameworks in the security services","type":"article-journal","volume":"5"},"uris":["http://www.mendeley.com/documents/?uuid=9690323b-7cb0-4af0-8d7e-e49f23201266","http://www.mendeley.com/documents/?uuid=1cca2b6d-53a3-4fd0-aa10-1a1fa3f9aa74"]}],"mendeley":{"formattedCitation":"Adam D.M. Svendsen, ‘Developing International Intelligence Liaison Against Islamic State: Approaching “One for All and All for One”?’, &lt;i&gt;International Journal of Intelligence and CounterIntelligence&lt;/i&gt;, 29.2 (2016), 260–77 &lt;https://doi.org/10.1080/08850607.2016.1121042&gt;; Uyi-Ekpen Ogbeide, ‘Inter-Agency Cooperation in Combating Terrorism in Nigeria: Enhancing Existing Instruments and Frameworks in the Security Services’, &lt;i&gt;African Research Review&lt;/i&gt;, 5.6 (2011), 239–48.","manualFormatting":"Adam D.M. Svendsen, ‘Developing International Intelligence Liaison Against Islamic State: Approaching “One for All and All for One”?’, International Journal of Intelligence and Counter Intelligence, 29.2 (2016), 260–77 ; Uyi-Ekpen Ogbeide, ‘Inter-Agency Cooperation in Combating Terrorism in Nigeria: Enhancing Existing Instruments and Frameworks in the Security Services’, African Research Review, 5.6 (2011), 239–48.","plainTextFormattedCitation":"Adam D.M. Svendsen, ‘Developing International Intelligence Liaison Against Islamic State: Approaching “One for All and All for One”?’, International Journal of Intelligence and CounterIntelligence, 29.2 (2016), 260–77 ; Uyi-Ekpen Ogbeide, ‘Inter-Agency Cooperation in Combating Terrorism in Nigeria: Enhancing Existing Instruments and Frameworks in the Security Services’, African Research Review, 5.6 (2011), 239–48.","previouslyFormattedCitation":"Adam D.M. Svendsen, ‘Developing International Intelligence Liaison Against Islamic State: Approaching “One for All and All for One”?’, &lt;i&gt;International Journal of Intelligence and CounterIntelligence&lt;/i&gt;, 29.2 (2016), 260–77 &lt;https://doi.org/10.1080/08850607.2016.1121042&gt;; Uyi-Ekpen Ogbeide, ‘Inter-Agency Cooperation in Combating Terrorism in Nigeria: Enhancing Existing Instruments and Frameworks in the Security Services’, &lt;i&gt;African Research Review&lt;/i&gt;, 5.6 (2011), 239–48."},"properties":{"noteIndex":17},"schema":"https://github.com/citation-style-language/schema/raw/master/csl-citation.json"}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Adam D.M. Svendsen, ‘Developing International Intelligence Liaison Against Islamic State: Approaching “One for All and All for One”?’, International Journal of Intelligence and Counter Intelligence, 29.2 (2016), 260–77 &lt;https://doi.org/10.1080/08850607.2016.1121042&gt;; Uyi-Ekpen Ogbeide, ‘Inter-Agency Cooperation in Combating Terrorism in Nigeria: Enhancing Existing Instruments and Frameworks in the Security Services’, African Research Review, 5.6 (2011), 239–48.</w:t>
      </w:r>
      <w:r w:rsidRPr="00F67E8A">
        <w:rPr>
          <w:rFonts w:ascii="Book Antiqua" w:hAnsi="Book Antiqua"/>
        </w:rPr>
        <w:fldChar w:fldCharType="end"/>
      </w:r>
    </w:p>
  </w:footnote>
  <w:footnote w:id="18">
    <w:p w14:paraId="401B1C61" w14:textId="3DE4A58C"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{"citationItems":[{"id":"ITEM-1","itemData":{"ISSN":"1043-9463","author":[{"dropping-particle":"","family":"Carter","given":"Jeremy G","non-dropping-particle":"","parse-names":false,"suffix":""},{"dropping-particle":"","family":"Phillips","given":"Scott W","non-dropping-particle":"","parse-names":false,"suffix":""}],"container-title":"Policing and society","id":"ITEM-1","issue":"4","issued":{"date-parts":[["2015"]]},"page":"333-357","publisher":"Taylor &amp; Francis","title":"Intelligence-led policing and forces of organisational change in the USA","type":"article-journal","volume":"25"},"uris":["http://www.mendeley.com/documents/?uuid=cd13033c-8854-4aa2-9858-a085bcaf7a53","http://www.mendeley.com/documents/?uuid=cd66ba53-8b96-4ae6-adf2-89a401dc2d84"]}],"mendeley":{"formattedCitation":"Jeremy G Carter and Scott W Phillips, ‘Intelligence-Led Policing and Forces of Organisational Change in the USA’, &lt;i&gt;Policing and Society&lt;/i&gt;, 25.4 (2015), 333–57.","plainTextFormattedCitation":"Jeremy G Carter and Scott W Phillips, ‘Intelligence-Led Policing and Forces of Organisational Change in the USA’, Policing and Society, 25.4 (2015), 333–57.","previouslyFormattedCitation":"Jeremy G Carter and Scott W Phillips, ‘Intelligence-Led Policing and Forces of Organisational Change in the USA’, &lt;i&gt;Policing and Society&lt;/i&gt;, 25.4 (2015), 333–57."},"properties":{"noteIndex":18},"schema":"https://github.com/citation-style-language/schema/raw/master/csl-citation.json"}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Jeremy G Carter and Scott W Phillips, ‘Intelligence-Led Policing and Forces of Organisational Change in the USA’, Policing and Society, 25.4 (2015), 333–57.</w:t>
      </w:r>
      <w:r w:rsidRPr="00F67E8A">
        <w:rPr>
          <w:rFonts w:ascii="Book Antiqua" w:hAnsi="Book Antiqua"/>
        </w:rPr>
        <w:fldChar w:fldCharType="end"/>
      </w:r>
    </w:p>
  </w:footnote>
  <w:footnote w:id="19">
    <w:p w14:paraId="53879AB1" w14:textId="774E5AB8"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{"citationItems":[{"id":"ITEM-1","itemData":{"ISSN":"0010-4140","author":[{"dropping-particle":"","family":"Winward","given":"Mark","non-dropping-particle":"","parse-names":false,"suffix":""}],"container-title":"Comparative Political Studies","id":"ITEM-1","issue":"3-4","issued":{"date-parts":[["2021"]]},"page":"553-584","publisher":"SAGE Publications Sage CA: Los Angeles, CA","title":"Intelligence capacity and mass violence: Evidence from Indonesia","type":"article-journal","volume":"54"},"uris":["http://www.mendeley.com/documents/?uuid=e210233a-0b9c-483b-b911-ac19f7115b4c","http://www.mendeley.com/documents/?uuid=f0b5ade5-e79d-43b3-94b6-15322308be84"]},{"id":"ITEM-2","itemData":{"DOI":"10.1057/JIT.2011.7","ISSN":"1466-4437","author":[{"dropping-particle":"","family":"Sawyer","given":"Steve","non-dropping-particle":"","parse-names":false,"suffix":""},{"dropping-particle":"","family":"Winter","given":"Susan J.","non-dropping-particle":"","parse-names":false,"suffix":""}],"container-title":"Journal of Information Technology 2011 26:2","id":"ITEM-2","issue":"2","issued":{"date-parts":[["2011","6"]]},"page":"95-98","publisher":"Palgrave","title":"Special issue on futures for research on information systems: prometheus unbound?","type":"article-journal","volume":"26"},"uris":["http://www.mendeley.com/documents/?uuid=0bb0a333-fece-37a8-93f2-996a8888c98b","http://www.mendeley.com/documents/?uuid=2ddde5b6-d1e2-4592-ac8b-598cfa10242d"]},{"id":"ITEM-3","itemData":{"ISSN":"1715-5673","author":[{"dropping-particle":"","family":"Robertson","given":"Ken G","non-dropping-particle":"","parse-names":false,"suffix":""}],"container-title":"Journal of Conflict Studies","id":"ITEM-3","issue":"2","issued":{"date-parts":[["1987"]]},"title":"Intelligence, terrorism and civil liberties","type":"article-journal","volume":"7"},"uris":["http://www.mendeley.com/documents/?uuid=f3069a5f-f50d-4571-9484-0144fd76dcc2","http://www.mendeley.com/documents/?uuid=6733f18c-3726-4651-b222-c017c20b27d4"]}],"mendeley":{"formattedCitation":"Mark Winward, ‘Intelligence Capacity and Mass Violence: Evidence from Indonesia’, &lt;i&gt;Comparative Political Studies&lt;/i&gt;, 54.3–4 (2021), 553–84; Steve Sawyer and Susan J. Winter, ‘Special Issue on Futures for Research on Information Systems: Prometheus Unbound?’, &lt;i&gt;Journal of Information Technology 2011 26:2&lt;/i&gt;, 26.2 (2011), 95–98 &lt;https://doi.org/10.1057/JIT.2011.7&gt;; Ken G Robertson, ‘Intelligence, Terrorism and Civil Liberties’, &lt;i&gt;Journal of Conflict Studies&lt;/i&gt;, 7.2 (1987).","plainTextFormattedCitation":"Mark Winward, ‘Intelligence Capacity and Mass Violence: Evidence from Indonesia’, Comparative Political Studies, 54.3–4 (2021), 553–84; Steve Sawyer and Susan J. Winter, ‘Special Issue on Futures for Research on Information Systems: Prometheus Unbound?’, Journal of Information Technology 2011 26:2, 26.2 (2011), 95–98 ; Ken G Robertson, ‘Intelligence, Terrorism and Civil Liberties’, Journal of Conflict Studies, 7.2 (1987).","previouslyFormattedCitation":"Mark Winward, ‘Intelligence Capacity and Mass Violence: Evidence from Indonesia’, &lt;i&gt;Comparative Political Studies&lt;/i&gt;, 54.3-4 (2021), 553–84; Steve Sawyer and Susan J. Winter, ‘Special Issue on Futures for Research on Information Systems: Prometheus Unbound?’, &lt;i&gt;Journal of Information Technology 2011 26:2&lt;/i&gt;, 26.2 (2011), 95–98 &lt;https://doi.org/10.1057/JIT.2011.7&gt;; Ken G Robertson, ‘Intelligence, Terrorism and Civil Liberties’, &lt;i&gt;Journal of Conflict Studies&lt;/i&gt;, 7.2 (1987)."},"properties":{"noteIndex":19},"schema":"https://github.com/citation-style-language/schema/raw/master/csl-citation.json"}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Mark Winward, ‘Intelligence Capacity and Mass Violence: Evidence from Indonesia’, </w:t>
      </w:r>
      <w:r w:rsidRPr="00F67E8A">
        <w:rPr>
          <w:rFonts w:ascii="Book Antiqua" w:hAnsi="Book Antiqua"/>
          <w:i/>
          <w:noProof/>
        </w:rPr>
        <w:t>Comparative Political Studies</w:t>
      </w:r>
      <w:r w:rsidRPr="00F67E8A">
        <w:rPr>
          <w:rFonts w:ascii="Book Antiqua" w:hAnsi="Book Antiqua"/>
          <w:noProof/>
        </w:rPr>
        <w:t xml:space="preserve">, 54.3–4 (2021), 553–84; Steve Sawyer and Susan J. Winter, ‘Special Issue on Futures for Research on Information Systems: Prometheus Unbound?’, </w:t>
      </w:r>
      <w:r w:rsidRPr="00F67E8A">
        <w:rPr>
          <w:rFonts w:ascii="Book Antiqua" w:hAnsi="Book Antiqua"/>
          <w:i/>
          <w:noProof/>
        </w:rPr>
        <w:t>Journal of Information Technology 2011 26:2</w:t>
      </w:r>
      <w:r w:rsidRPr="00F67E8A">
        <w:rPr>
          <w:rFonts w:ascii="Book Antiqua" w:hAnsi="Book Antiqua"/>
          <w:noProof/>
        </w:rPr>
        <w:t xml:space="preserve">, 26.2 (2011), 95–98 &lt;https://doi.org/10.1057/JIT.2011.7&gt;; Ken G Robertson, ‘Intelligence, Terrorism and Civil Liberties’, </w:t>
      </w:r>
      <w:r w:rsidRPr="00F67E8A">
        <w:rPr>
          <w:rFonts w:ascii="Book Antiqua" w:hAnsi="Book Antiqua"/>
          <w:i/>
          <w:noProof/>
        </w:rPr>
        <w:t>Journal of Conflict Studies</w:t>
      </w:r>
      <w:r w:rsidRPr="00F67E8A">
        <w:rPr>
          <w:rFonts w:ascii="Book Antiqua" w:hAnsi="Book Antiqua"/>
          <w:noProof/>
        </w:rPr>
        <w:t>, 7.2 (1987).</w:t>
      </w:r>
      <w:r w:rsidRPr="00F67E8A">
        <w:rPr>
          <w:rFonts w:ascii="Book Antiqua" w:hAnsi="Book Antiqua"/>
        </w:rPr>
        <w:fldChar w:fldCharType="end"/>
      </w:r>
    </w:p>
  </w:footnote>
  <w:footnote w:id="20">
    <w:p w14:paraId="710B736E" w14:textId="6C83B9F7"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{"citationItems":[{"id":"ITEM-1","itemData":{"author":[{"dropping-particle":"","family":"Bernardi","given":"Beatrice","non-dropping-particle":"","parse-names":false,"suffix":""}],"id":"ITEM-1","issued":{"date-parts":[["2013"]]},"publisher":"Università Ca'Foscari Venezia","title":"The Role of Intelligence in the Fight Against International Terrorism: Legal Profiles","type":"article"},"uris":["http://www.mendeley.com/documents/?uuid=2567d14e-5b76-454a-8398-4aeeee7c5f05","http://www.mendeley.com/documents/?uuid=5aa293c0-47f8-41f3-a1bc-7dc79576a569"]}],"mendeley":{"formattedCitation":"Beatrice Bernardi, ‘The Role of Intelligence in the Fight Against International Terrorism: Legal Profiles’ (Università Ca’Foscari Venezia, 2013).","plainTextFormattedCitation":"Beatrice Bernardi, ‘The Role of Intelligence in the Fight Against International Terrorism: Legal Profiles’ (Università Ca’Foscari Venezia, 2013).","previouslyFormattedCitation":"Beatrice Bernardi, ‘The Role of Intelligence in the Fight Against International Terrorism: Legal Profiles’ (Università Ca’Foscari Venezia, 2013)."},"properties":{"noteIndex":20},"schema":"https://github.com/citation-style-language/schema/raw/master/csl-citation.json"}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Beatrice Bernardi, ‘The Role of Intelligence in the Fight Against International Terrorism: Legal Profiles’ (Università Ca’Foscari Venezia, 2013).</w:t>
      </w:r>
      <w:r w:rsidRPr="00F67E8A">
        <w:rPr>
          <w:rFonts w:ascii="Book Antiqua" w:hAnsi="Book Antiqua"/>
        </w:rPr>
        <w:fldChar w:fldCharType="end"/>
      </w:r>
    </w:p>
  </w:footnote>
  <w:footnote w:id="21">
    <w:p w14:paraId="33897466" w14:textId="673FAC98"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{"citationItems":[{"id":"ITEM-1","itemData":{"author":[{"dropping-particle":"","family":"Poernomo","given":"Troesto","non-dropping-particle":"","parse-names":false,"suffix":""}],"id":"ITEM-1","issued":{"date-parts":[["2018"]]},"publisher":"Universitas Gadjah Mada","title":"Penanganan Terorisme di Indonesia melalui Pendekatan Hukum dan Intelijen","type":"thesis"},"uris":["http://www.mendeley.com/documents/?uuid=05747562-e140-4405-a7b3-b534d1b30ba8","http://www.mendeley.com/documents/?uuid=546a58de-d092-4ea4-aadc-4f7e1072e221"]},{"id":"ITEM-2","itemData":{"ISSN":"2301-8569","author":[{"dropping-particle":"","family":"Moonik","given":"Andrew","non-dropping-particle":"","parse-names":false,"suffix":""}],"container-title":"Lex Crimen","id":"ITEM-2","issue":"10","issued":{"date-parts":[["2020"]]},"title":"Penyadapan Oleh Badan Intelejen Negara Dalam Memperoleh Bukti Permulaan Tindak Pidana Terorisme","type":"article-journal","volume":"8"},"uris":["http://www.mendeley.com/documents/?uuid=e3f18921-2cdf-47a1-ad15-0309d786bd05","http://www.mendeley.com/documents/?uuid=6afc0f94-bcc2-4b46-b354-946ec6140ed4"]},{"id":"ITEM-3","itemData":{"ISSN":"1715-5673","author":[{"dropping-particle":"","family":"Robertson","given":"Ken G","non-dropping-particle":"","parse-names":false,"suffix":""}],"container-title":"Journal of Conflict Studies","id":"ITEM-3","issue":"2","issued":{"date-parts":[["1987"]]},"title":"Intelligence, terrorism and civil liberties","type":"article-journal","volume":"7"},"uris":["http://www.mendeley.com/documents/?uuid=6733f18c-3726-4651-b222-c017c20b27d4","http://www.mendeley.com/documents/?uuid=f3069a5f-f50d-4571-9484-0144fd76dcc2"]}],"mendeley":{"formattedCitation":"Troesto Poernomo, ‘Penanganan Terorisme Di Indonesia Melalui Pendekatan Hukum Dan Intelijen’ (Universitas Gadjah Mada, 2018); Andrew Moonik, ‘Penyadapan Oleh Badan Intelejen Negara Dalam Memperoleh Bukti Permulaan Tindak Pidana Terorisme’, &lt;i&gt;Lex Crimen&lt;/i&gt;, 8.10 (2020); Robertson.","plainTextFormattedCitation":"Troesto Poernomo, ‘Penanganan Terorisme Di Indonesia Melalui Pendekatan Hukum Dan Intelijen’ (Universitas Gadjah Mada, 2018); Andrew Moonik, ‘Penyadapan Oleh Badan Intelejen Negara Dalam Memperoleh Bukti Permulaan Tindak Pidana Terorisme’, Lex Crimen, 8.10 (2020); Robertson.","previouslyFormattedCitation":"Troesto Poernomo, ‘Penanganan Terorisme Di Indonesia Melalui Pendekatan Hukum Dan Intelijen’ (Universitas Gadjah Mada, 2018); Andrew Moonik, ‘Penyadapan Oleh Badan Intelejen Negara Dalam Memperoleh Bukti Permulaan Tindak Pidana Terorisme’, &lt;i&gt;Lex Crimen&lt;/i&gt;, 8.10 (2020); Robertson."},"properties":{"noteIndex":21},"schema":"https://github.com/citation-style-language/schema/raw/master/csl-citation.json"}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Troesto Poernomo, ‘Penanganan Terorisme Di Indonesia Melalui Pendekatan Hukum Dan Intelijen’ (Universitas Gadjah Mada, 2018); Andrew Moonik, ‘Penyadapan Oleh Badan Intelejen Negara Dalam Memperoleh Bukti Permulaan Tindak Pidana Terorisme’, Lex Crimen, 8.10 (2020); Robertson.</w:t>
      </w:r>
      <w:r w:rsidRPr="00F67E8A">
        <w:rPr>
          <w:rFonts w:ascii="Book Antiqua" w:hAnsi="Book Antiqua"/>
        </w:rPr>
        <w:fldChar w:fldCharType="end"/>
      </w:r>
    </w:p>
  </w:footnote>
  <w:footnote w:id="22">
    <w:p w14:paraId="1B174A72" w14:textId="78C83665"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{"citationItems":[{"id":"ITEM-1","itemData":{"ISBN":"1849509220","abstract":"Case Study Research: Theory Methods and Practice looks at the research processes involved in conducting methods including participant observation, fuzzy set social science, system dynamics, decision systems analysis, forced metaphor elicitation technique, ethnographic decision tree modelling, mapping strategic thinking, the historical method, storytelling research and conversational analysis. The book reviews and applies the best literature on case study methods from several disciplines providing strong rationales for adopting case study research methods alone or in mixed-methods.Yoram (Jerry) Wind The Lauder Professor and Professor of Marketing, The Wharton School If your concept of research still centers on qualitative vs quantitative research, if you are concerned with the discovery of real insights and with the validity of your research efforts, this book is a must read! It is the first comprehensive and insightful discussion of the third dimension of research -\"Case Study Research\". Aside from comprehensive discussion and illuminating examples of a range of methods from storytelling to ethnographic decision tree modeling, the book offers 12 insightful principles for doing and interpreting case study research. A book that every researcher and user of research should be familiar with.Gerald Zaltman The Joseph C. Wilson Professor of Business Administration Emeritus, Harvard Business School and Partner, Olson Zaltman Associates This provocative and much needed book advances the study of human behavior in important, thoughtful ways. It is a wonderful guide for deeper thinking about complex issues drawing upon and synthesizing a variety of research traditions. It is essential reading for all researchers and research consumersMichel Laroche Royal Bank Distinguished Professor of Marketing, John Molson School of Business, Concordia University. This is a remarkable book which must be read by all researchers to gain a new perspective on study research methods. It provides a masterful treatment of the widest range of case study methods with a depth not found in any other book on this topic. It fully covers more than twelve methods with excellent examples of each of them. The book includes 770 references with extensive discussions of this literature and it will definitely become a classic in the field for many years to come.Dr. Evert Gummesson Professor, Stockbolm University School of Busines, Sweden With this book, Arch Woodside clarifies and deepens knowledge…","author":[{"dropping-particle":"","family":"Woodside","given":"Arch G.","non-dropping-particle":"","parse-names":false,"suffix":""}],"id":"ITEM-1","issued":{"date-parts":[["2010"]]},"number-of-pages":"440","publisher":"Emerald Group Publishing","title":"Case Study Research: Theory, Methods ... - Google Books","type":"book"},"uris":["http://www.mendeley.com/documents/?uuid=7506e65b-0ba9-3f55-a844-44a6ee3eb18b","http://www.mendeley.com/documents/?uuid=1eff8972-8287-44da-a7f2-a7f3b71493aa"]}],"mendeley":{"formattedCitation":"Arch G. Woodside, &lt;i&gt;Case Study Research: Theory, Methods ... - Google Books&lt;/i&gt; (Emerald Group Publishing, 2010).","plainTextFormattedCitation":"Arch G. Woodside, Case Study Research: Theory, Methods ... - Google Books (Emerald Group Publishing, 2010).","previouslyFormattedCitation":"Arch G. Woodside, &lt;i&gt;Case Study Research: Theory, Methods ... - Google Books&lt;/i&gt; (Emerald Group Publishing, 2010) &lt;https://books.google.com/books/about/Case_Study_Research.html?id=JQXEKLXfgpIC&gt; [accessed 16 March 2022]."},"properties":{"noteIndex":22},"schema":"https://github.com/citation-style-language/schema/raw/master/csl-citation.json"}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Arch G. Woodside, </w:t>
      </w:r>
      <w:r w:rsidRPr="00F67E8A">
        <w:rPr>
          <w:rFonts w:ascii="Book Antiqua" w:hAnsi="Book Antiqua"/>
          <w:i/>
          <w:noProof/>
        </w:rPr>
        <w:t>Case Study Research: Theory, Methods ... - Google Books</w:t>
      </w:r>
      <w:r w:rsidRPr="00F67E8A">
        <w:rPr>
          <w:rFonts w:ascii="Book Antiqua" w:hAnsi="Book Antiqua"/>
          <w:noProof/>
        </w:rPr>
        <w:t xml:space="preserve"> (Emerald Group Publishing, 2010).</w:t>
      </w:r>
      <w:r w:rsidRPr="00F67E8A">
        <w:rPr>
          <w:rFonts w:ascii="Book Antiqua" w:hAnsi="Book Antiqua"/>
        </w:rPr>
        <w:fldChar w:fldCharType="end"/>
      </w:r>
    </w:p>
  </w:footnote>
  <w:footnote w:id="23">
    <w:p w14:paraId="042B862A" w14:textId="32CD2C63"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Poernomo","given":"Troesta","non-dropping-particle":"","parse-names":false,"suffix":""},{"dropping-particle":"","family":"Triatmodjo","given":"Marsudi","non-dropping-particle":"","parse-names":false,"suffix":""},{"dropping-particle":"","family":"Hiariej","given":"Edward","non-dropping-particle":"","parse-names":false,"suffix":""},{"dropping-particle":"","family":"Gunarto","given":"Marcus Priyo","non-dropping-particle":"","parse-names":false,"suffix":""}],"id":"ITEM-1","issued":{"date-parts":[["2018"]]},"publisher":"Universitas Gajah Mada","title":"Penanganan Terorisme di Indonesia melalui Pendekatan Hukum dan Intelijen","type":"thesis"},"uris":["http://www.mendeley.com/documents/?uuid=1be22414-0497-36d6-83d6-ecd8745b2600","http://www.mendeley.com/documents/?uuid=f15fc023-91fb-456e-bbfc-1a39aed9412c"]}],"mendeley":{"formattedCitation":"Troesta Poernomo and others, ‘Penanganan Terorisme Di Indonesia Melalui Pendekatan Hukum Dan Intelijen’ (Universitas Gajah Mada, 2018).","plainTextFormattedCitation":"Troesta Poernomo and others, ‘Penanganan Terorisme Di Indonesia Melalui Pendekatan Hukum Dan Intelijen’ (Universitas Gajah Mada, 2018).","previouslyFormattedCitation":"Troesta Poernomo and others, ‘Penanganan Terorisme Di Indonesia Melalui Pendekatan Hukum Dan Intelijen’ (Universitas Gajah Mada, 2018) &lt;http://etd.repository.ugm.ac.id/penelitian/detail/157879&gt; [accessed 15 March 2022]."},"properties":{"noteIndex":23},"schema":"https://github.com/citation-style-language/schema/raw/master/csl-citation.json"}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Troesta Poernomo and others, ‘Penanganan Terorisme Di Indonesia Melalui Pendekatan Hukum Dan Intelijen’ (Universitas Gajah Mada, 2018).</w:t>
      </w:r>
      <w:r w:rsidRPr="00F67E8A">
        <w:rPr>
          <w:rFonts w:ascii="Book Antiqua" w:hAnsi="Book Antiqua"/>
        </w:rPr>
        <w:fldChar w:fldCharType="end"/>
      </w:r>
    </w:p>
  </w:footnote>
  <w:footnote w:id="24">
    <w:p w14:paraId="35D4A38F" w14:textId="0CDCA2B9"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{"citationItems":[{"id":"ITEM-1","itemData":{"DOI":"10.1080/02684527.2013.851876","abstract":"What is the role of intelligence for counterterrorism? Most studies of counterterrorism ignore the vital role of intelligence, focus only on its most controversial aspects, or fail to recognize how...","author":[{"dropping-particle":"","family":"Byman","given":"Daniel","non-dropping-particle":"","parse-names":false,"suffix":""}],"container-title":"Intelligence and National Security","id":"ITEM-1","issue":"6","issued":{"date-parts":[["2014"]]},"page":"837-863","publisher":"Routledge","title":"The Intelligence War on Terrorism","type":"article-journal","volume":"29"},"uris":["http://www.mendeley.com/documents/?uuid=26c3b7eb-3835-3e58-9fc4-0276cf8ac3a7","http://www.mendeley.com/documents/?uuid=5c5d50d2-8845-42a9-8c8b-95fa4ff9a8c8"]}],"mendeley":{"formattedCitation":"Daniel Byman, ‘The Intelligence War on Terrorism’, &lt;i&gt;Intelligence and National Security&lt;/i&gt;, 29.6 (2014), 837–63 &lt;https://doi.org/10.1080/02684527.2013.851876&gt;.","plainTextFormattedCitation":"Daniel Byman, ‘The Intelligence War on Terrorism’, Intelligence and National Security, 29.6 (2014), 837–63 .","previouslyFormattedCitation":"Daniel Byman, ‘The Intelligence War on Terrorism’, &lt;i&gt;Intelligence and National Security&lt;/i&gt;, 29.6 (2014), 837–63 &lt;https://doi.org/10.1080/02684527.2013.851876&gt;."},"properties":{"noteIndex":24},"schema":"https://github.com/citation-style-language/schema/raw/master/csl-citation.json"}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Daniel Byman, ‘The Intelligence War on Terrorism’, </w:t>
      </w:r>
      <w:r w:rsidRPr="00F67E8A">
        <w:rPr>
          <w:rFonts w:ascii="Book Antiqua" w:hAnsi="Book Antiqua"/>
          <w:i/>
          <w:noProof/>
        </w:rPr>
        <w:t>Intelligence and National Security</w:t>
      </w:r>
      <w:r w:rsidRPr="00F67E8A">
        <w:rPr>
          <w:rFonts w:ascii="Book Antiqua" w:hAnsi="Book Antiqua"/>
          <w:noProof/>
        </w:rPr>
        <w:t>, 29.6 (2014), 837–63 &lt;https://doi.org/10.1080/02684527.2013.851876&gt;.</w:t>
      </w:r>
      <w:r w:rsidRPr="00F67E8A">
        <w:rPr>
          <w:rFonts w:ascii="Book Antiqua" w:hAnsi="Book Antiqua"/>
        </w:rPr>
        <w:fldChar w:fldCharType="end"/>
      </w:r>
    </w:p>
  </w:footnote>
  <w:footnote w:id="25">
    <w:p w14:paraId="57144E63" w14:textId="5BF04B42"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{"citationItems":[{"id":"ITEM-1","itemData":{"author":[{"dropping-particle":"","family":"Laksmi","given":"Sylvia Windya","non-dropping-particle":"","parse-names":false,"suffix":""}],"container-title":"Counter Terrorist Trends and Analysis","id":"ITEM-1","issue":"7","issued":{"date-parts":[["2019"]]},"title":"Nexus between Charities and Terrorist Financing In Indonesia on JSTOR","type":"article-journal","volume":"11"},"uris":["http://www.mendeley.com/documents/?uuid=7d730fc6-0fd3-377e-acdb-ab731cbc3a64","http://www.mendeley.com/documents/?uuid=74c296b5-5022-4cec-b078-be3fda9c98c5"]}],"mendeley":{"formattedCitation":"Sylvia Windya Laksmi, ‘Nexus between Charities and Terrorist Financing In Indonesia on JSTOR’, &lt;i&gt;Counter Terrorist Trends and Analysis&lt;/i&gt;, 11.7 (2019).","plainTextFormattedCitation":"Sylvia Windya Laksmi, ‘Nexus between Charities and Terrorist Financing In Indonesia on JSTOR’, Counter Terrorist Trends and Analysis, 11.7 (2019).","previouslyFormattedCitation":"Sylvia Windya Laksmi, ‘Nexus between Charities and Terrorist Financing In Indonesia on JSTOR’, &lt;i&gt;Counter Terrorist Trends and Analysis&lt;/i&gt;, 11.7 (2019) &lt;https://www.jstor.org/stable/26778274&gt; [accessed 24 January 2023]."},"properties":{"noteIndex":25},"schema":"https://github.com/citation-style-language/schema/raw/master/csl-citation.json"}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Sylvia Windya Laksmi, ‘Nexus between Charities and Terrorist Financing In Indonesia on JSTOR’, </w:t>
      </w:r>
      <w:r w:rsidRPr="00F67E8A">
        <w:rPr>
          <w:rFonts w:ascii="Book Antiqua" w:hAnsi="Book Antiqua"/>
          <w:i/>
          <w:noProof/>
        </w:rPr>
        <w:t>Counter Terrorist Trends and Analysis</w:t>
      </w:r>
      <w:r w:rsidRPr="00F67E8A">
        <w:rPr>
          <w:rFonts w:ascii="Book Antiqua" w:hAnsi="Book Antiqua"/>
          <w:noProof/>
        </w:rPr>
        <w:t>, 11.7 (2019).</w:t>
      </w:r>
      <w:r w:rsidRPr="00F67E8A">
        <w:rPr>
          <w:rFonts w:ascii="Book Antiqua" w:hAnsi="Book Antiqua"/>
        </w:rPr>
        <w:fldChar w:fldCharType="end"/>
      </w:r>
    </w:p>
  </w:footnote>
  <w:footnote w:id="26">
    <w:p w14:paraId="2E0401B3" w14:textId="50ABD29E"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{"citationItems":[{"id":"ITEM-1","itemData":{"author":[{"dropping-particle":"","family":"CNN","given":"","non-dropping-particle":"","parse-names":false,"suffix":""}],"container-title":"CNN Indonesia","id":"ITEM-1","issued":{"date-parts":[["2020"]]},"title":"Jejak Panjang Konflik di Poso","type":"article-newspaper"},"uris":["http://www.mendeley.com/documents/?uuid=af31d603-a3d5-3a3e-80ab-38371f84e4e0","http://www.mendeley.com/documents/?uuid=d49247d6-b70e-4eb4-a499-253bae01cb36"]}],"mendeley":{"formattedCitation":"CNN, ‘Jejak Panjang Konflik Di Poso’, &lt;i&gt;CNN Indonesia&lt;/i&gt;, 2020.","plainTextFormattedCitation":"CNN, ‘Jejak Panjang Konflik Di Poso’, CNN Indonesia, 2020.","previouslyFormattedCitation":"CNN, ‘Jejak Panjang Konflik Di Poso’, &lt;i&gt;CNN Indonesia&lt;/i&gt;, 2020 &lt;https://www.cnnindonesia.com/nasional/20201202124935-20-577034/jejak-panjang-konflik-di-poso&gt; [accessed 24 January 2023]."},"properties":{"noteIndex":26},"schema":"https://github.com/citation-style-language/schema/raw/master/csl-citation.json"}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CNN, ‘Jejak Panjang Konflik Di Poso’, </w:t>
      </w:r>
      <w:r w:rsidRPr="00F67E8A">
        <w:rPr>
          <w:rFonts w:ascii="Book Antiqua" w:hAnsi="Book Antiqua"/>
          <w:i/>
          <w:noProof/>
        </w:rPr>
        <w:t>CNN Indonesia</w:t>
      </w:r>
      <w:r w:rsidRPr="00F67E8A">
        <w:rPr>
          <w:rFonts w:ascii="Book Antiqua" w:hAnsi="Book Antiqua"/>
          <w:noProof/>
        </w:rPr>
        <w:t>, 2020.</w:t>
      </w:r>
      <w:r w:rsidRPr="00F67E8A">
        <w:rPr>
          <w:rFonts w:ascii="Book Antiqua" w:hAnsi="Book Antiqua"/>
        </w:rPr>
        <w:fldChar w:fldCharType="end"/>
      </w:r>
    </w:p>
  </w:footnote>
  <w:footnote w:id="27">
    <w:p w14:paraId="28EC2AFE" w14:textId="525C2A23"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{"citationItems":[{"id":"ITEM-1","itemData":{"author":[{"dropping-particle":"","family":"Verella Devanka","given":"","non-dropping-particle":"","parse-names":false,"suffix":""}],"container-title":"Kompas","id":"ITEM-1","issued":{"date-parts":[["2021"]]},"title":"Deklarasi Malino: Latar Belakang, Isi, dan Dampak Halaman all - Kompas.com","type":"webpage"},"uris":["http://www.mendeley.com/documents/?uuid=113f68a5-1739-31b2-a9bc-37ea76c83ffd","http://www.mendeley.com/documents/?uuid=3d954fa5-4087-4233-ab36-965c6be576de"]}],"mendeley":{"formattedCitation":"Verella Devanka, ‘Deklarasi Malino: Latar Belakang, Isi, Dan Dampak Halaman All - Kompas.Com’, &lt;i&gt;Kompas&lt;/i&gt;, 2021.","plainTextFormattedCitation":"Verella Devanka, ‘Deklarasi Malino: Latar Belakang, Isi, Dan Dampak Halaman All - Kompas.Com’, Kompas, 2021.","previouslyFormattedCitation":"Verella Devanka, ‘Deklarasi Malino: Latar Belakang, Isi, Dan Dampak Halaman All - Kompas.com’, &lt;i&gt;Kompas&lt;/i&gt;, 2021 &lt;https://www.kompas.com/stori/read/2021/07/31/133000379/deklarasi-malino-latar-belakang-isi-dan-dampak?page=all#page2&gt; [accessed 24 January 2023]."},"properties":{"noteIndex":27},"schema":"https://github.com/citation-style-language/schema/raw/master/csl-citation.json"}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Verella Devanka, ‘Deklarasi Malino: Latar Belakang, Isi, Dan Dampak Halaman All - Kompas.Com’, </w:t>
      </w:r>
      <w:r w:rsidRPr="00F67E8A">
        <w:rPr>
          <w:rFonts w:ascii="Book Antiqua" w:hAnsi="Book Antiqua"/>
          <w:i/>
          <w:noProof/>
        </w:rPr>
        <w:t>Kompas</w:t>
      </w:r>
      <w:r w:rsidRPr="00F67E8A">
        <w:rPr>
          <w:rFonts w:ascii="Book Antiqua" w:hAnsi="Book Antiqua"/>
          <w:noProof/>
        </w:rPr>
        <w:t>, 2021.</w:t>
      </w:r>
      <w:r w:rsidRPr="00F67E8A">
        <w:rPr>
          <w:rFonts w:ascii="Book Antiqua" w:hAnsi="Book Antiqua"/>
        </w:rPr>
        <w:fldChar w:fldCharType="end"/>
      </w:r>
    </w:p>
  </w:footnote>
  <w:footnote w:id="28">
    <w:p w14:paraId="0B040EFC" w14:textId="10D50959"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{"citationItems":[{"id":"ITEM-1","itemData":{"author":[{"dropping-particle":"","family":"Tempo.co","given":"","non-dropping-particle":"","parse-names":false,"suffix":""}],"container-title":"Tempo.co","id":"ITEM-1","issued":{"date-parts":[["2003"]]},"title":"BIN Telah Mendeteksi Indikasi Penyerangan di Poso","type":"webpage"},"uris":["http://www.mendeley.com/documents/?uuid=026c8f6e-9fb8-4e07-b064-0905353667ab","http://www.mendeley.com/documents/?uuid=b31168ea-debb-4f78-a183-c7cf7f39dc86"]}],"mendeley":{"formattedCitation":"Tempo.co, ‘BIN Telah Mendeteksi Indikasi Penyerangan Di Poso’, &lt;i&gt;Tempo.Co&lt;/i&gt;, 2003.","plainTextFormattedCitation":"Tempo.co, ‘BIN Telah Mendeteksi Indikasi Penyerangan Di Poso’, Tempo.Co, 2003.","previouslyFormattedCitation":"Tempo.co, ‘BIN Telah Mendeteksi Indikasi Penyerangan Di Poso’, &lt;i&gt;Tempo.co&lt;/i&gt;, 2003."},"properties":{"noteIndex":28},"schema":"https://github.com/citation-style-language/schema/raw/master/csl-citation.json"}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Tempo.co, ‘BIN Telah Mendeteksi Indikasi Penyerangan Di Poso’, </w:t>
      </w:r>
      <w:r w:rsidRPr="00F67E8A">
        <w:rPr>
          <w:rFonts w:ascii="Book Antiqua" w:hAnsi="Book Antiqua"/>
          <w:i/>
          <w:noProof/>
        </w:rPr>
        <w:t>Tempo.Co</w:t>
      </w:r>
      <w:r w:rsidRPr="00F67E8A">
        <w:rPr>
          <w:rFonts w:ascii="Book Antiqua" w:hAnsi="Book Antiqua"/>
          <w:noProof/>
        </w:rPr>
        <w:t>, 2003.</w:t>
      </w:r>
      <w:r w:rsidRPr="00F67E8A">
        <w:rPr>
          <w:rFonts w:ascii="Book Antiqua" w:hAnsi="Book Antiqua"/>
        </w:rPr>
        <w:fldChar w:fldCharType="end"/>
      </w:r>
    </w:p>
  </w:footnote>
  <w:footnote w:id="29">
    <w:p w14:paraId="45442752" w14:textId="71FDFEA6"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{"citationItems":[{"id":"ITEM-1","itemData":{"author":[{"dropping-particle":"","family":"Liputan 6","given":"","non-dropping-particle":"","parse-names":false,"suffix":""}],"container-title":"Liputan 6","id":"ITEM-1","issued":{"date-parts":[["2003"]]},"title":"BIN: Pelaku Kerusuhan Poso Adalah Pemain Lama","type":"webpage"},"uris":["http://www.mendeley.com/documents/?uuid=04d5bb29-136a-49b6-a1ed-03e8009d2f54","http://www.mendeley.com/documents/?uuid=695487c3-bc11-4910-84c1-d1ce590b6853"]}],"mendeley":{"formattedCitation":"Liputan 6, ‘BIN: Pelaku Kerusuhan Poso Adalah Pemain Lama’, &lt;i&gt;Liputan 6&lt;/i&gt;, 2003.","plainTextFormattedCitation":"Liputan 6, ‘BIN: Pelaku Kerusuhan Poso Adalah Pemain Lama’, Liputan 6, 2003.","previouslyFormattedCitation":"Liputan 6, ‘BIN: Pelaku Kerusuhan Poso Adalah Pemain Lama’, &lt;i&gt;Liputan 6&lt;/i&gt;, 2003."},"properties":{"noteIndex":29},"schema":"https://github.com/citation-style-language/schema/raw/master/csl-citation.json"}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Liputan 6, ‘BIN: Pelaku Kerusuhan Poso Adalah Pemain Lama’, Liputan 6, 2003.</w:t>
      </w:r>
      <w:r w:rsidRPr="00F67E8A">
        <w:rPr>
          <w:rFonts w:ascii="Book Antiqua" w:hAnsi="Book Antiqua"/>
        </w:rPr>
        <w:fldChar w:fldCharType="end"/>
      </w:r>
    </w:p>
  </w:footnote>
  <w:footnote w:id="30">
    <w:p w14:paraId="0516A262" w14:textId="422D3353"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{"citationItems":[{"id":"ITEM-1","itemData":{"DOI":"10.1007/S13369-019-04319-2/METRICS","abstract":"There has been a tremendous increase in research in the area of cyber security to support cyber applications and to avoid key security threats faced by these applications. The goal of this study is to identify and analyze the common cyber security vulnerabilities. To achieve this goal, a systematic mapping study was conducted, and in total, 78 primary studies were identified and analyzed. After a detailed analysis of the selected studies, we identified the important security vulnerabilities and their frequency of occurrence. Data were also synthesized and analyzed to present the venue of publication, country of publication, key targeted infrastructures and applications. The results show that the security approaches mentioned so far only target security in general, and the solutions provided in these studies need more empirical validation and real implementation. In addition, our results show that most of the selected studies in this review targeted only a few common security vulnerabilities such as phishing, denial-of-service and malware. However, there is a need, in future research, to identify the key cyber security vulnerabilities, targeted/victimized applications, mitigation techniques and infrastructures, so that researchers and practitioners could get a better insight into it.","author":[{"dropping-particle":"","family":"Humayun","given":"Mamoona","non-dropping-particle":"","parse-names":false,"suffix":""},{"dropping-particle":"","family":"Niazi","given":"Mahmood","non-dropping-particle":"","parse-names":false,"suffix":""},{"dropping-particle":"","family":"Jhanjhi","given":"Nz","non-dropping-particle":"","parse-names":false,"suffix":""},{"dropping-particle":"","family":"Alshayeb","given":"Mohammad","non-dropping-particle":"","parse-names":false,"suffix":""},{"dropping-particle":"","family":"Mahmood","given":"Sajjad","non-dropping-particle":"","parse-names":false,"suffix":""}],"container-title":"Arabian Journal for Science and Engineering","id":"ITEM-1","issue":"4","issued":{"date-parts":[["2020","4"]]},"page":"3171-3189","publisher":"Springer","title":"Cyber Security Threats and Vulnerabilities: A Systematic Mapping Study","type":"article-journal","volume":"45"},"uris":["http://www.mendeley.com/documents/?uuid=c04bd503-c3fa-39c8-873f-dd4104c5b574","http://www.mendeley.com/documents/?uuid=906e0cd0-856a-4432-918a-f2878a497446"]},{"id":"ITEM-2","itemData":{"DOI":"10.1177/0887403409337368","abstract":"Since the terrorist attack of September 11, 2001, Federal, State and local governments have increasingly moved toward establishing Homeland Security as an institutional response to not only the thr...","author":[{"dropping-particle":"","family":"Oliver","given":"Willard M.","non-dropping-particle":"","parse-names":false,"suffix":""}],"container-title":"Criminal Justice Policy Review","id":"ITEM-2","issue":"3","issued":{"date-parts":[["2009","7"]]},"number-of-pages":"253-260","publisher":"SAGE PublicationsSage CA: Los Angeles, CA","title":"Policing for Homeland Security: Policy &amp; Research","type":"report","volume":"20"},"uris":["http://www.mendeley.com/documents/?uuid=f38153c4-2658-30b0-8aa7-4bddfaa65d41","http://www.mendeley.com/documents/?uuid=0630ff5b-1954-46ab-af07-5061772691c6"]}],"mendeley":{"formattedCitation":"Mamoona Humayun and others, ‘Cyber Security Threats and Vulnerabilities: A Systematic Mapping Study’, &lt;i&gt;Arabian Journal for Science and Engineering&lt;/i&gt;, 45.4 (2020), 3171–89 &lt;https://doi.org/10.1007/S13369-019-04319-2/METRICS&gt;; Willard M. Oliver, &lt;i&gt;Policing for Homeland Security: Policy &amp; Research&lt;/i&gt;, &lt;i&gt;Criminal Justice Policy Review&lt;/i&gt; (SAGE PublicationsSage CA: Los Angeles, CA, July 2009), &lt;span style=\"font-variant:small-caps;\"&gt;xx&lt;/span&gt; &lt;https://doi.org/10.1177/0887403409337368&gt;.","plainTextFormattedCitation":"Mamoona Humayun and others, ‘Cyber Security Threats and Vulnerabilities: A Systematic Mapping Study’, Arabian Journal for Science and Engineering, 45.4 (2020), 3171–89 ; Willard M. Oliver, Policing for Homeland Security: Policy &amp; Research, Criminal Justice Policy Review (SAGE PublicationsSage CA: Los Angeles, CA, July 2009), xx .","previouslyFormattedCitation":"Mamoona Humayun and others, ‘Cyber Security Threats and Vulnerabilities: A Systematic Mapping Study’, &lt;i&gt;Arabian Journal for Science and Engineering&lt;/i&gt;, 45.4 (2020), 3171–89 &lt;https://doi.org/10.1007/S13369-019-04319-2/METRICS&gt;; Willard M. Oliver, &lt;i&gt;Policing for Homeland Security: Policy &amp; Research&lt;/i&gt;, &lt;i&gt;Criminal Justice Policy Review&lt;/i&gt; (SAGE PublicationsSage CA: Los Angeles, CA, 22 July 2009), &lt;span style=\"font-variant:small-caps;\"&gt;xx&lt;/span&gt; &lt;https://doi.org/10.1177/0887403409337368&gt;."},"properties":{"noteIndex":30},"schema":"https://github.com/citation-style-language/schema/raw/master/csl-citation.json"}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Mamoona Humayun and others, ‘Cyber Security Threats and Vulnerabilities: A Systematic Mapping Study’, </w:t>
      </w:r>
      <w:r w:rsidRPr="00F67E8A">
        <w:rPr>
          <w:rFonts w:ascii="Book Antiqua" w:hAnsi="Book Antiqua"/>
          <w:i/>
          <w:noProof/>
        </w:rPr>
        <w:t>Arabian Journal for Science and Engineering</w:t>
      </w:r>
      <w:r w:rsidRPr="00F67E8A">
        <w:rPr>
          <w:rFonts w:ascii="Book Antiqua" w:hAnsi="Book Antiqua"/>
          <w:noProof/>
        </w:rPr>
        <w:t xml:space="preserve">, 45.4 (2020), 3171–89 &lt;https://doi.org/10.1007/S13369-019-04319-2/METRICS&gt;; Willard M. Oliver, </w:t>
      </w:r>
      <w:r w:rsidRPr="00F67E8A">
        <w:rPr>
          <w:rFonts w:ascii="Book Antiqua" w:hAnsi="Book Antiqua"/>
          <w:i/>
          <w:noProof/>
        </w:rPr>
        <w:t>Policing for Homeland Security: Policy &amp; Research</w:t>
      </w:r>
      <w:r w:rsidRPr="00F67E8A">
        <w:rPr>
          <w:rFonts w:ascii="Book Antiqua" w:hAnsi="Book Antiqua"/>
          <w:noProof/>
        </w:rPr>
        <w:t xml:space="preserve">, </w:t>
      </w:r>
      <w:r w:rsidRPr="00F67E8A">
        <w:rPr>
          <w:rFonts w:ascii="Book Antiqua" w:hAnsi="Book Antiqua"/>
          <w:i/>
          <w:noProof/>
        </w:rPr>
        <w:t>Criminal Justice Policy Review</w:t>
      </w:r>
      <w:r w:rsidRPr="00F67E8A">
        <w:rPr>
          <w:rFonts w:ascii="Book Antiqua" w:hAnsi="Book Antiqua"/>
          <w:noProof/>
        </w:rPr>
        <w:t xml:space="preserve"> (SAGE PublicationsSage CA: Los Angeles, CA, July 2009), </w:t>
      </w:r>
      <w:r w:rsidRPr="00F67E8A">
        <w:rPr>
          <w:rFonts w:ascii="Book Antiqua" w:hAnsi="Book Antiqua"/>
          <w:smallCaps/>
          <w:noProof/>
        </w:rPr>
        <w:t>xx</w:t>
      </w:r>
      <w:r w:rsidRPr="00F67E8A">
        <w:rPr>
          <w:rFonts w:ascii="Book Antiqua" w:hAnsi="Book Antiqua"/>
          <w:noProof/>
        </w:rPr>
        <w:t xml:space="preserve"> &lt;https://doi.org/10.1177/0887403409337368&gt;.</w:t>
      </w:r>
      <w:r w:rsidRPr="00F67E8A">
        <w:rPr>
          <w:rFonts w:ascii="Book Antiqua" w:hAnsi="Book Antiqua"/>
        </w:rPr>
        <w:fldChar w:fldCharType="end"/>
      </w:r>
    </w:p>
  </w:footnote>
  <w:footnote w:id="31">
    <w:p w14:paraId="06FCB635" w14:textId="42E8E4AE"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{"citationItems":[{"id":"ITEM-1","itemData":{"author":[{"dropping-particle":"","family":"Pratama","given":"Akhdi Martin","non-dropping-particle":"","parse-names":false,"suffix":""}],"container-title":"Kompas","id":"ITEM-1","issued":{"date-parts":[["2016"]]},"title":"Kaleidoskop 2016: Kilas Balik Bom Thamrin Halaman all - Kompas.com","type":"webpage"},"uris":["http://www.mendeley.com/documents/?uuid=854b4b60-0a27-39a5-be55-816703349028","http://www.mendeley.com/documents/?uuid=dcf90c4d-334e-4822-a9b9-6a5e222fbf69"]}],"mendeley":{"formattedCitation":"Akhdi Martin Pratama, ‘Kaleidoskop 2016: Kilas Balik Bom Thamrin Halaman All - Kompas.Com’, &lt;i&gt;Kompas&lt;/i&gt;, 2016.","plainTextFormattedCitation":"Akhdi Martin Pratama, ‘Kaleidoskop 2016: Kilas Balik Bom Thamrin Halaman All - Kompas.Com’, Kompas, 2016.","previouslyFormattedCitation":"Akhdi Martin Pratama, ‘Kaleidoskop 2016: Kilas Balik Bom Thamrin Halaman All - Kompas.com’, &lt;i&gt;Kompas&lt;/i&gt;, 2016 &lt;https://megapolitan.kompas.com/read/2016/12/16/07000081/kaleidoskop.2016.kilas.balik.bom.thamrin?page=all&gt; [accessed 24 January 2023]."},"properties":{"noteIndex":31},"schema":"https://github.com/citation-style-language/schema/raw/master/csl-citation.json"}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Akhdi Martin Pratama, ‘Kaleidoskop 2016: Kilas Balik Bom Thamrin Halaman All - Kompas.Com’, </w:t>
      </w:r>
      <w:r w:rsidRPr="00F67E8A">
        <w:rPr>
          <w:rFonts w:ascii="Book Antiqua" w:hAnsi="Book Antiqua"/>
          <w:i/>
          <w:noProof/>
        </w:rPr>
        <w:t>Kompas</w:t>
      </w:r>
      <w:r w:rsidRPr="00F67E8A">
        <w:rPr>
          <w:rFonts w:ascii="Book Antiqua" w:hAnsi="Book Antiqua"/>
          <w:noProof/>
        </w:rPr>
        <w:t>, 2016.</w:t>
      </w:r>
      <w:r w:rsidRPr="00F67E8A">
        <w:rPr>
          <w:rFonts w:ascii="Book Antiqua" w:hAnsi="Book Antiqua"/>
        </w:rPr>
        <w:fldChar w:fldCharType="end"/>
      </w:r>
    </w:p>
  </w:footnote>
  <w:footnote w:id="32">
    <w:p w14:paraId="33C458E8" w14:textId="2237FCE4"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{"citationItems":[{"id":"ITEM-1","itemData":{"DOI":"10.22225/POLITICOS.2.1.2022.11-26","ISSN":"2776-8023","abstract":"This research examines the perspective of ASEAN's counter-terrorism policy and ASEAN member states. Observing ASEAN's counter-terrorism policy instruments and the approach of ASEAN member states to these instruments. Based on the massive threats of terrorism that have occurred in Southeast Asia, especially since the 9/11 incident in 2001. Qualitative descriptive is used as a research method, using a literature study approach. The results showed that ASEAN adopted a law enforcement approach in countering terrorism. ASEAN for the first time issued a counter-terrorism policy instrument specifically through the ASEAN Declaration on Joint Action to Counter Terrorism 2001, after 9/11. Then followed by other instruments such as the ASEAN-US Joint Declaration for Cooperation to Combat International Terrorism 2002, Joint Declaration on Cooperation to Combat Terrorism 2003, ASEAN Convention on Counter Terrorism (ACCT) 2007, and joint declarations with external dialogue partner countries such as United States, European Union, India, Australia, Russia, Japan, South Korea, New Zealand, Pakistan and Canada. However, ASEAN member countries do not have absolute similarities in the paradigm of counter-terrorism policies. Because ASEAN has the principle of non-interference. Based on these results, it can be concluded that various counter-terrorism policy instruments have been successfully established by ASEAN, which puts forward the perspective of law enforcement. However, there are differences in the paradigm of counter-terrorism by ASEAN member countries.\n&amp;nbsp;","author":[{"dropping-particle":"","family":"Pradnyana","given":"Hadi","non-dropping-particle":"","parse-names":false,"suffix":""}],"container-title":"POLITICOS: Jurnal Politik dan Pemerintahan","id":"ITEM-1","issue":"1","issued":{"date-parts":[["2022","2"]]},"page":"11-26","publisher":"Universitas Warmadewa","title":"Perspektif Kebijakan Kontra-Terorisme ASEAN dan Perbedaan Paradigma Penanggulangan Terorisme oleh Negara-Negara Anggota ASEAN","type":"article-journal","volume":"2"},"uris":["http://www.mendeley.com/documents/?uuid=4d320c37-f54f-3646-ac9e-62aace8d792e","http://www.mendeley.com/documents/?uuid=1cdf6968-f5e4-4897-a027-707066a6325e"]}],"mendeley":{"formattedCitation":"Hadi Pradnyana, ‘Perspektif Kebijakan Kontra-Terorisme ASEAN Dan Perbedaan Paradigma Penanggulangan Terorisme Oleh Negara-Negara Anggota ASEAN’, &lt;i&gt;POLITICOS: Jurnal Politik Dan Pemerintahan&lt;/i&gt;, 2.1 (2022), 11–26 &lt;https://doi.org/10.22225/POLITICOS.2.1.2022.11-26&gt;.","plainTextFormattedCitation":"Hadi Pradnyana, ‘Perspektif Kebijakan Kontra-Terorisme ASEAN Dan Perbedaan Paradigma Penanggulangan Terorisme Oleh Negara-Negara Anggota ASEAN’, POLITICOS: Jurnal Politik Dan Pemerintahan, 2.1 (2022), 11–26 .","previouslyFormattedCitation":"Hadi Pradnyana, ‘Perspektif Kebijakan Kontra-Terorisme ASEAN Dan Perbedaan Paradigma Penanggulangan Terorisme Oleh Negara-Negara Anggota ASEAN’, &lt;i&gt;POLITICOS: Jurnal Politik Dan Pemerintahan&lt;/i&gt;, 2.1 (2022), 11–26 &lt;https://doi.org/10.22225/POLITICOS.2.1.2022.11-26&gt;."},"properties":{"noteIndex":32},"schema":"https://github.com/citation-style-language/schema/raw/master/csl-citation.json"}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Hadi Pradnyana, ‘Perspektif Kebijakan Kontra-Terorisme ASEAN Dan Perbedaan Paradigma Penanggulangan Terorisme Oleh Negara-Negara Anggota ASEAN’, </w:t>
      </w:r>
      <w:r w:rsidRPr="00F67E8A">
        <w:rPr>
          <w:rFonts w:ascii="Book Antiqua" w:hAnsi="Book Antiqua"/>
          <w:i/>
          <w:noProof/>
        </w:rPr>
        <w:t>POLITICOS: Jurnal Politik Dan Pemerintahan</w:t>
      </w:r>
      <w:r w:rsidRPr="00F67E8A">
        <w:rPr>
          <w:rFonts w:ascii="Book Antiqua" w:hAnsi="Book Antiqua"/>
          <w:noProof/>
        </w:rPr>
        <w:t>, 2.1 (2022), 11–26 &lt;https://doi.org/10.22225/POLITICOS.2.1.2022.11-26&gt;.</w:t>
      </w:r>
      <w:r w:rsidRPr="00F67E8A">
        <w:rPr>
          <w:rFonts w:ascii="Book Antiqua" w:hAnsi="Book Antiqua"/>
        </w:rPr>
        <w:fldChar w:fldCharType="end"/>
      </w:r>
    </w:p>
  </w:footnote>
  <w:footnote w:id="33">
    <w:p w14:paraId="108165BD" w14:textId="1A1E455F"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10.14710/jiip.v6i2.11475","author":[{"dropping-particle":"","family":"Bahtiar","given":"Andhi","non-dropping-particle":"","parse-names":false,"suffix":""},{"dropping-particle":"","family":"Purwadianto","given":"Agus","non-dropping-particle":"","parse-names":false,"suffix":""},{"dropping-particle":"","family":"Juwono","given":"Vishnu","non-dropping-particle":"","parse-names":false,"suffix":""}],"container-title":"JIIP: Jurnal Ilmiah Ilmu Pemerintahan","id":"ITEM-1","issue":"2","issued":{"date-parts":[["2021"]]},"title":"Analisa Kewenangan Badan Intelijen Negara (BIN) dalam Penanganan Pandemi Covid-19","type":"article-journal","volume":"6"},"uris":["http://www.mendeley.com/documents/?uuid=9639f2d4-ff89-3323-9567-10366dac7950","http://www.mendeley.com/documents/?uuid=9e82ac2f-b54c-411f-99a7-33e4dfae5c87"]}],"mendeley":{"formattedCitation":"Andhi Bahtiar, Agus Purwadianto, and Vishnu Juwono, ‘Analisa Kewenangan Badan Intelijen Negara (BIN) Dalam Penanganan Pandemi Covid-19’, &lt;i&gt;JIIP: Jurnal Ilmiah Ilmu Pemerintahan&lt;/i&gt;, 6.2 (2021) &lt;https://doi.org/10.14710/jiip.v6i2.11475&gt;.","plainTextFormattedCitation":"Andhi Bahtiar, Agus Purwadianto, and Vishnu Juwono, ‘Analisa Kewenangan Badan Intelijen Negara (BIN) Dalam Penanganan Pandemi Covid-19’, JIIP: Jurnal Ilmiah Ilmu Pemerintahan, 6.2 (2021) .","previouslyFormattedCitation":"Andhi Bahtiar, Agus Purwadianto, and Vishnu Juwono, ‘Analisa Kewenangan Badan Intelijen Negara (BIN) Dalam Penanganan Pandemi Covid-19’, &lt;i&gt;JIIP: Jurnal Ilmiah Ilmu Pemerintahan&lt;/i&gt;, 6.2 (2021) &lt;https://doi.org/10.14710/jiip.v6i2.11475&gt;."},"properties":{"noteIndex":33},"schema":"https://github.com/citation-style-language/schema/raw/master/csl-citation.json"}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Andhi Bahtiar, Agus Purwadianto, and Vishnu Juwono, ‘Analisa Kewenangan Badan Intelijen Negara (BIN) Dalam Penanganan Pandemi Covid-19’, </w:t>
      </w:r>
      <w:r w:rsidRPr="00F67E8A">
        <w:rPr>
          <w:rFonts w:ascii="Book Antiqua" w:hAnsi="Book Antiqua"/>
          <w:i/>
          <w:noProof/>
        </w:rPr>
        <w:t>JIIP: Jurnal Ilmiah Ilmu Pemerintahan</w:t>
      </w:r>
      <w:r w:rsidRPr="00F67E8A">
        <w:rPr>
          <w:rFonts w:ascii="Book Antiqua" w:hAnsi="Book Antiqua"/>
          <w:noProof/>
        </w:rPr>
        <w:t>, 6.2 (2021) &lt;https://doi.org/10.14710/jiip.v6i2.11475&gt;.</w:t>
      </w:r>
      <w:r w:rsidRPr="00F67E8A">
        <w:rPr>
          <w:rFonts w:ascii="Book Antiqua" w:hAnsi="Book Antiqua"/>
        </w:rPr>
        <w:fldChar w:fldCharType="end"/>
      </w:r>
    </w:p>
  </w:footnote>
  <w:footnote w:id="34">
    <w:p w14:paraId="44CCA7D9" w14:textId="50050EAF"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{"citationItems":[{"id":"ITEM-1","itemData":{"author":[{"dropping-particle":"","family":"Bachtiarudin Alam","given":"","non-dropping-particle":"","parse-names":false,"suffix":""}],"container-title":"Merdeka.com","id":"ITEM-1","issued":{"date-parts":[["2021"]]},"title":"UU No. 17 Tahun 2011 tentang Intelijen Negara [JDIH BPK RI]","type":"webpage"},"uris":["http://www.mendeley.com/documents/?uuid=4474bf8f-d964-3de9-8c14-f3f41cd20b98","http://www.mendeley.com/documents/?uuid=82bac2a0-f58f-49fb-bc4e-969b3af851ce"]}],"mendeley":{"formattedCitation":"Bachtiarudin Alam, ‘UU No. 17 Tahun 2011 Tentang Intelijen Negara [JDIH BPK RI]’, &lt;i&gt;Merdeka.Com&lt;/i&gt;, 2021.","plainTextFormattedCitation":"Bachtiarudin Alam, ‘UU No. 17 Tahun 2011 Tentang Intelijen Negara [JDIH BPK RI]’, Merdeka.Com, 2021.","previouslyFormattedCitation":"Bachtiarudin Alam, ‘UU No. 17 Tahun 2011 Tentang Intelijen Negara [JDIH BPK RI]’, &lt;i&gt;Merdeka.com&lt;/i&gt;, 2021 &lt;https://peraturan.bpk.go.id/Home/Details/39236/uu-no-17-tahun-2011&gt; [accessed 24 January 2023]."},"properties":{"noteIndex":34},"schema":"https://github.com/citation-style-language/schema/raw/master/csl-citation.json"}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Bachtiarudin Alam, ‘UU No. 17 Tahun 2011 Tentang Intelijen Negara [JDIH BPK RI]’, </w:t>
      </w:r>
      <w:r w:rsidRPr="00F67E8A">
        <w:rPr>
          <w:rFonts w:ascii="Book Antiqua" w:hAnsi="Book Antiqua"/>
          <w:i/>
          <w:noProof/>
        </w:rPr>
        <w:t>Merdeka.Com</w:t>
      </w:r>
      <w:r w:rsidRPr="00F67E8A">
        <w:rPr>
          <w:rFonts w:ascii="Book Antiqua" w:hAnsi="Book Antiqua"/>
          <w:noProof/>
        </w:rPr>
        <w:t>, 2021.</w:t>
      </w:r>
      <w:r w:rsidRPr="00F67E8A">
        <w:rPr>
          <w:rFonts w:ascii="Book Antiqua" w:hAnsi="Book Antiqua"/>
        </w:rPr>
        <w:fldChar w:fldCharType="end"/>
      </w:r>
    </w:p>
  </w:footnote>
  <w:footnote w:id="35">
    <w:p w14:paraId="3731FACA" w14:textId="7464F15F"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{"citationItems":[{"id":"ITEM-1","itemData":{"author":[{"dropping-particle":"","family":"Indrawan","given":"Angga","non-dropping-particle":"","parse-names":false,"suffix":""}],"container-title":"Republika","id":"ITEM-1","issued":{"date-parts":[["2016"]]},"title":"DPR Didesak Perkuat Peran Intelijen | Republika Online","type":"webpage"},"uris":["http://www.mendeley.com/documents/?uuid=d18d5fec-ecc3-4641-90cc-08baab352ce4","http://www.mendeley.com/documents/?uuid=a885866b-f0ac-4db6-ac70-34211c63ebce"]}],"mendeley":{"formattedCitation":"Angga Indrawan, ‘DPR Didesak Perkuat Peran Intelijen | Republika Online’, &lt;i&gt;Republika&lt;/i&gt;, 2016.","plainTextFormattedCitation":"Angga Indrawan, ‘DPR Didesak Perkuat Peran Intelijen | Republika Online’, Republika, 2016.","previouslyFormattedCitation":"Angga Indrawan, ‘DPR Didesak Perkuat Peran Intelijen | Republika Online’, &lt;i&gt;Republika&lt;/i&gt;, 2016."},"properties":{"noteIndex":35},"schema":"https://github.com/citation-style-language/schema/raw/master/csl-citation.json"}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Angga Indrawan, ‘DPR Didesak Perkuat Peran Intelijen | Republika Online’, Republika, 2016.</w:t>
      </w:r>
      <w:r w:rsidRPr="00F67E8A">
        <w:rPr>
          <w:rFonts w:ascii="Book Antiqua" w:hAnsi="Book Antiqua"/>
        </w:rPr>
        <w:fldChar w:fldCharType="end"/>
      </w:r>
    </w:p>
  </w:footnote>
  <w:footnote w:id="36">
    <w:p w14:paraId="723C0A78" w14:textId="12CC6872"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Prabowo","given":"Haris","non-dropping-particle":"","parse-names":false,"suffix":""}],"container-title":"Tirto.id","id":"ITEM-1","issued":{"date-parts":[["2021"]]},"page":"https://tirto.id/membaca-terorisme-sekarang-di-ten","title":"Membaca Terorisme Sekarang: Di Tengah Pandemi dan Aksi Berpasangan","type":"webpage"},"uris":["http://www.mendeley.com/documents/?uuid=558830f5-1d84-41f2-8fae-46968f734e4a","http://www.mendeley.com/documents/?uuid=5e8fefc7-02e7-397f-8543-284439ee055c"]}],"mendeley":{"formattedCitation":"Prabowo.","plainTextFormattedCitation":"Prabowo.","previouslyFormattedCitation":"Prabowo."},"properties":{"noteIndex":36},"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Prabowo.</w:t>
      </w:r>
      <w:r w:rsidRPr="00F67E8A">
        <w:rPr>
          <w:rFonts w:ascii="Book Antiqua" w:hAnsi="Book Antiqua"/>
        </w:rPr>
        <w:fldChar w:fldCharType="end"/>
      </w:r>
    </w:p>
  </w:footnote>
  <w:footnote w:id="37">
    <w:p w14:paraId="673DBE7F" w14:textId="209F4D5B"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{"citationItems":[{"id":"ITEM-1","itemData":{"author":[{"dropping-particle":"","family":"Bachtiarudin Alam","given":"","non-dropping-particle":"","parse-names":false,"suffix":""}],"container-title":"Merdeka.com","id":"ITEM-1","issued":{"date-parts":[["2021"]]},"title":"UU No. 17 Tahun 2011 tentang Intelijen Negara [JDIH BPK RI]","type":"webpage"},"uris":["http://www.mendeley.com/documents/?uuid=82bac2a0-f58f-49fb-bc4e-969b3af851ce","http://www.mendeley.com/documents/?uuid=4474bf8f-d964-3de9-8c14-f3f41cd20b98"]}],"mendeley":{"formattedCitation":"Bachtiarudin Alam.","plainTextFormattedCitation":"Bachtiarudin Alam.","previouslyFormattedCitation":"Bachtiarudin Alam."},"properties":{"noteIndex":37},"schema":"https://github.com/citation-style-language/schema/raw/master/csl-citation.json"}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Bachtiarudin Alam.</w:t>
      </w:r>
      <w:r w:rsidRPr="00F67E8A">
        <w:rPr>
          <w:rFonts w:ascii="Book Antiqua" w:hAnsi="Book Antiqua"/>
        </w:rPr>
        <w:fldChar w:fldCharType="end"/>
      </w:r>
    </w:p>
  </w:footnote>
  <w:footnote w:id="38">
    <w:p w14:paraId="1507CAD1" w14:textId="1F5E9BD5"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{"citationItems":[{"id":"ITEM-1","itemData":{"author":[{"dropping-particle":"","family":"Defianti","given":"Ika","non-dropping-particle":"","parse-names":false,"suffix":""}],"id":"ITEM-1","issued":{"date-parts":[["2021","3"]]},"title":"BIN Ungkap Sempat Kejar Pelaku Bom Bunuh Diri di Depan Gereja Katedral Makassar | merdeka.com","type":"webpage"},"uris":["http://www.mendeley.com/documents/?uuid=f141f60c-9371-4120-9c24-758c777e8b61","http://www.mendeley.com/documents/?uuid=c88336c3-33f7-4c12-8c2e-25080ef57f23"]},{"id":"ITEM-2","itemData":{"DOI":"10.18196/ja.1104","ISSN":"2722-4856","abstract":"Penelitian ini bertujuan untuk mengetahui bagaimana koran harian nasional Republika dan Kompas membingkai pemberitaanteror bom di Surabaya. Penelitian ini menggunakan pendekatan deskriptif kualitatif.Adapun basis data dalam penelitian ini adalah pemberitaaan tragedi teror bom Surabaya dalam koran cetak Republika dan Kompas edisi 14 hingga 31 Mei. Dalam penelitian ini, peneliti menggunakan teknik analisis data model  framing    empat elemen Robert Entman meliputi pendefinisian masalah, penyebab masalah, penilaian moral, dan langkah penyelesaian masalah.Hasil penelitian menunjukkan, teror bom di Surabaya dikonstruksikan Republika sebagai masalah kelambanan pemerintah dalam mengesahkan Undang-Undang Anti Terorisme karena adanya perdebatan mengenai definisi terorisme dan wacana pelibatan TNIdi dalamnya. Berbeda dengan bingkai yang dikonstruksi oleh Republika, Kompas mendefinisikan terorisme sebagai ancaman bagi bangsa. Bingkai tersebut dipilih Kompas disebabkan masih kuatnya jaringan terorisme di Indonesia.","author":[{"dropping-particle":"","family":"Setiawan","given":"Rendi Eko Budi","non-dropping-particle":"","parse-names":false,"suffix":""},{"dropping-particle":"","family":"Suyoto","given":"Suyoto","non-dropping-particle":"","parse-names":false,"suffix":""}],"container-title":"Jurnal Audiens","id":"ITEM-2","issue":"1","issued":{"date-parts":[["2020","3"]]},"page":"26-34","title":"Duka Surabaya dalam Bingkai Surat Kabar (Analisis Framing Pemberitaan Terorisme di Surabaya pada Surat Kabar Republika dan Kompas Edisi Mei 2018)","type":"article-journal","volume":"1"},"uris":["http://www.mendeley.com/documents/?uuid=b400f861-af4d-350c-83f7-f649dfc0b8a2","http://www.mendeley.com/documents/?uuid=8230b99f-cf0c-4cd9-9cb0-3bfda199a22c"]}],"mendeley":{"formattedCitation":"Ika Defianti, ‘BIN Ungkap Sempat Kejar Pelaku Bom Bunuh Diri Di Depan Gereja Katedral Makassar | Merdeka.Com’, 2021; Rendi Eko Budi Setiawan and Suyoto Suyoto, ‘Duka Surabaya Dalam Bingkai Surat Kabar (Analisis Framing Pemberitaan Terorisme Di Surabaya Pada Surat Kabar Republika Dan Kompas Edisi Mei 2018)’, &lt;i&gt;Jurnal Audiens&lt;/i&gt;, 1.1 (2020), 26–34 &lt;https://doi.org/10.18196/ja.1104&gt;.","plainTextFormattedCitation":"Ika Defianti, ‘BIN Ungkap Sempat Kejar Pelaku Bom Bunuh Diri Di Depan Gereja Katedral Makassar | Merdeka.Com’, 2021; Rendi Eko Budi Setiawan and Suyoto Suyoto, ‘Duka Surabaya Dalam Bingkai Surat Kabar (Analisis Framing Pemberitaan Terorisme Di Surabaya Pada Surat Kabar Republika Dan Kompas Edisi Mei 2018)’, Jurnal Audiens, 1.1 (2020), 26–34 .","previouslyFormattedCitation":"Ika Defianti, ‘BIN Ungkap Sempat Kejar Pelaku Bom Bunuh Diri Di Depan Gereja Katedral Makassar | Merdeka.com’, 2021; Rendi Eko Budi Setiawan and Suyoto Suyoto, ‘Duka Surabaya Dalam Bingkai Surat Kabar (Analisis Framing Pemberitaan Terorisme Di Surabaya Pada Surat Kabar Republika Dan Kompas Edisi Mei 2018)’, &lt;i&gt;Jurnal Audiens&lt;/i&gt;, 1.1 (2020), 26–34 &lt;https://doi.org/10.18196/ja.1104&gt;."},"properties":{"noteIndex":38},"schema":"https://github.com/citation-style-language/schema/raw/master/csl-citation.json"}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Ika Defianti, ‘BIN Ungkap Sempat Kejar Pelaku Bom Bunuh Diri Di Depan Gereja Katedral Makassar | Merdeka.Com’, 2021; Rendi Eko Budi Setiawan and Suyoto Suyoto, ‘Duka Surabaya Dalam Bingkai Surat Kabar (Analisis Framing Pemberitaan Terorisme Di Surabaya Pada Surat Kabar Republika Dan Kompas Edisi Mei 2018)’, </w:t>
      </w:r>
      <w:r w:rsidRPr="00F67E8A">
        <w:rPr>
          <w:rFonts w:ascii="Book Antiqua" w:hAnsi="Book Antiqua"/>
          <w:i/>
          <w:noProof/>
        </w:rPr>
        <w:t>Jurnal Audiens</w:t>
      </w:r>
      <w:r w:rsidRPr="00F67E8A">
        <w:rPr>
          <w:rFonts w:ascii="Book Antiqua" w:hAnsi="Book Antiqua"/>
          <w:noProof/>
        </w:rPr>
        <w:t>, 1.1 (2020), 26–34 &lt;https://doi.org/10.18196/ja.1104&gt;.</w:t>
      </w:r>
      <w:r w:rsidRPr="00F67E8A">
        <w:rPr>
          <w:rFonts w:ascii="Book Antiqua" w:hAnsi="Book Antiqua"/>
        </w:rPr>
        <w:fldChar w:fldCharType="end"/>
      </w:r>
    </w:p>
  </w:footnote>
  <w:footnote w:id="39">
    <w:p w14:paraId="120C8083" w14:textId="200D2ADD"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{"citationItems":[{"id":"ITEM-1","itemData":{"author":[{"dropping-particle":"","family":"Hakim","given":"Syaiful","non-dropping-particle":"","parse-names":false,"suffix":""}],"container-title":"Antara News","id":"ITEM-1","issued":{"date-parts":[["2018","10"]]},"title":"Menhan tekankan pentingnya kerja sama intelijen dalam kontra terorisme - ANTARA News","type":"webpage"},"uris":["http://www.mendeley.com/documents/?uuid=0a97a67f-e9d8-40bb-baf1-47ee9b7756eb","http://www.mendeley.com/documents/?uuid=8a270e77-9ed0-4297-b213-bbae27cd9c44"]}],"mendeley":{"formattedCitation":"Syaiful Hakim, ‘Menhan Tekankan Pentingnya Kerja Sama Intelijen Dalam Kontra Terorisme - ANTARA News’, &lt;i&gt;Antara News&lt;/i&gt;, 2018.","plainTextFormattedCitation":"Syaiful Hakim, ‘Menhan Tekankan Pentingnya Kerja Sama Intelijen Dalam Kontra Terorisme - ANTARA News’, Antara News, 2018.","previouslyFormattedCitation":"Syaiful Hakim, ‘Menhan Tekankan Pentingnya Kerja Sama Intelijen Dalam Kontra Terorisme - ANTARA News’, &lt;i&gt;Antara News&lt;/i&gt;, 2018."},"properties":{"noteIndex":39},"schema":"https://github.com/citation-style-language/schema/raw/master/csl-citation.json"}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Syaiful Hakim, ‘Menhan Tekankan Pentingnya Kerja Sama Intelijen Dalam Kontra Terorisme - ANTARA News’, Antara News, 2018.</w:t>
      </w:r>
      <w:r w:rsidRPr="00F67E8A">
        <w:rPr>
          <w:rFonts w:ascii="Book Antiqua" w:hAnsi="Book Antiqua"/>
        </w:rPr>
        <w:fldChar w:fldCharType="end"/>
      </w:r>
    </w:p>
  </w:footnote>
  <w:footnote w:id="40">
    <w:p w14:paraId="121C43E3" w14:textId="26388B7B"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{"citationItems":[{"id":"ITEM-1","itemData":{"DOI":"10.1080/02684527.2014.988444","ISSN":"17439019","abstract":"In this article we seek to address the emerging role of the European Union (EU) as a security and intelligence actor from the perspective of counter-terrorism. Intelligence as a process and product...","author":[{"dropping-particle":"","family":"Boer","given":"Monica","non-dropping-particle":"Den","parse-names":false,"suffix":""}],"container-title":"Intelligence and National Security","id":"ITEM-1","issued":{"date-parts":[["2015","5"]]},"page":"402-419","publisher":"Routledge","title":"Counter-Terrorism, Security and Intelligence in the EU: Governance Challenges for Collection, Exchange and Analysis","type":"article-journal","volume":"30"},"uris":["http://www.mendeley.com/documents/?uuid=f38affe9-747f-3ae2-aabe-e7499d03c589","http://www.mendeley.com/documents/?uuid=b574864f-5aeb-4624-b0a3-ecc821c25831"]}],"mendeley":{"formattedCitation":"Monica Den Boer, ‘Counter-Terrorism, Security and Intelligence in the EU: Governance Challenges for Collection, Exchange and Analysis’, &lt;i&gt;Intelligence and National Security&lt;/i&gt;, 30 (2015), 402–19 &lt;https://doi.org/10.1080/02684527.2014.988444&gt;.","plainTextFormattedCitation":"Monica Den Boer, ‘Counter-Terrorism, Security and Intelligence in the EU: Governance Challenges for Collection, Exchange and Analysis’, Intelligence and National Security, 30 (2015), 402–19 .","previouslyFormattedCitation":"Monica Den Boer, ‘Counter-Terrorism, Security and Intelligence in the EU: Governance Challenges for Collection, Exchange and Analysis’, &lt;i&gt;Intelligence and National Security&lt;/i&gt;, 30 (2015), 402–19 &lt;https://doi.org/10.1080/02684527.2014.988444&gt;."},"properties":{"noteIndex":40},"schema":"https://github.com/citation-style-language/schema/raw/master/csl-citation.json"}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Monica Den Boer, ‘Counter-Terrorism, Security and Intelligence in the EU: Governance Challenges for Collection, Exchange and Analysis’, </w:t>
      </w:r>
      <w:r w:rsidRPr="00F67E8A">
        <w:rPr>
          <w:rFonts w:ascii="Book Antiqua" w:hAnsi="Book Antiqua"/>
          <w:i/>
          <w:noProof/>
        </w:rPr>
        <w:t>Intelligence and National Security</w:t>
      </w:r>
      <w:r w:rsidRPr="00F67E8A">
        <w:rPr>
          <w:rFonts w:ascii="Book Antiqua" w:hAnsi="Book Antiqua"/>
          <w:noProof/>
        </w:rPr>
        <w:t>, 30 (2015), 402–19 &lt;https://doi.org/10.1080/02684527.2014.988444&gt;.</w:t>
      </w:r>
      <w:r w:rsidRPr="00F67E8A">
        <w:rPr>
          <w:rFonts w:ascii="Book Antiqua" w:hAnsi="Book Antiqua"/>
        </w:rPr>
        <w:fldChar w:fldCharType="end"/>
      </w:r>
    </w:p>
  </w:footnote>
  <w:footnote w:id="41">
    <w:p w14:paraId="37A5086A" w14:textId="7DF65448"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{"citationItems":[{"id":"ITEM-1","itemData":{"DOI":"10.1057/S41284-020-00250-6/METRICS","ISSN":"17434645","abstract":"Partnerships between public and private sector actors are expected to grow in response to calls for a broader cross-sectoral counter-terrorism strategy. However, the formation of these partnerships is a current challenge for private sector security professionals, as there is no standardised approach to securitising terrorism or even a common understanding of how private security can contribute to prevention efforts. This paper provides a review of the literature on private sector security procedures used in response to terrorism. The results showed that physical security and security assessments (risk, threat and vulnerability assessments) were the most frequently discussed security themes for protection against terrorist threats. Security measures that received less attention in the literature were related to intelligence gathering and multi-agency cooperation. It is concluded that security procedures in the private sector related to terrorism and other extreme acts of violence should receive more attention in the academic literature to contribute to a better understanding of private security practices.","author":[{"dropping-particle":"","family":"Phelps","given":"Matthew","non-dropping-particle":"","parse-names":false,"suffix":""}],"container-title":"Security Journal","id":"ITEM-1","issue":"4","issued":{"date-parts":[["2021","12"]]},"page":"599-620","publisher":"Palgrave Macmillan","title":"The role of the private sector in counter-terrorism: a scoping review of the literature on emergency responses to terrorism","type":"article-journal","volume":"34"},"uris":["http://www.mendeley.com/documents/?uuid=2a84c9dd-61d3-3a5f-a361-a3f384d686e5","http://www.mendeley.com/documents/?uuid=77c75cfa-1030-421a-80ce-7f819944d6f7"]}],"mendeley":{"formattedCitation":"Matthew Phelps, ‘The Role of the Private Sector in Counter-Terrorism: A Scoping Review of the Literature on Emergency Responses to Terrorism’, &lt;i&gt;Security Journal&lt;/i&gt;, 34.4 (2021), 599–620 &lt;https://doi.org/10.1057/S41284-020-00250-6/METRICS&gt;.","plainTextFormattedCitation":"Matthew Phelps, ‘The Role of the Private Sector in Counter-Terrorism: A Scoping Review of the Literature on Emergency Responses to Terrorism’, Security Journal, 34.4 (2021), 599–620 .","previouslyFormattedCitation":"Matthew Phelps, ‘The Role of the Private Sector in Counter-Terrorism: A Scoping Review of the Literature on Emergency Responses to Terrorism’, &lt;i&gt;Security Journal&lt;/i&gt;, 34.4 (2021), 599–620 &lt;https://doi.org/10.1057/S41284-020-00250-6/METRICS&gt;."},"properties":{"noteIndex":41},"schema":"https://github.com/citation-style-language/schema/raw/master/csl-citation.json"}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Matthew Phelps, ‘The Role of the Private Sector in Counter-Terrorism: A Scoping Review of the Literature on Emergency Responses to Terrorism’, </w:t>
      </w:r>
      <w:r w:rsidRPr="00F67E8A">
        <w:rPr>
          <w:rFonts w:ascii="Book Antiqua" w:hAnsi="Book Antiqua"/>
          <w:i/>
          <w:noProof/>
        </w:rPr>
        <w:t>Security Journal</w:t>
      </w:r>
      <w:r w:rsidRPr="00F67E8A">
        <w:rPr>
          <w:rFonts w:ascii="Book Antiqua" w:hAnsi="Book Antiqua"/>
          <w:noProof/>
        </w:rPr>
        <w:t>, 34.4 (2021), 599–620 &lt;https://doi.org/10.1057/S41284-020-00250-6/METRICS&gt;.</w:t>
      </w:r>
      <w:r w:rsidRPr="00F67E8A">
        <w:rPr>
          <w:rFonts w:ascii="Book Antiqua" w:hAnsi="Book Antiqua"/>
        </w:rPr>
        <w:fldChar w:fldCharType="end"/>
      </w:r>
    </w:p>
  </w:footnote>
  <w:footnote w:id="42">
    <w:p w14:paraId="276E8990" w14:textId="6D63079C"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{"citationItems":[{"id":"ITEM-1","itemData":{"DOI":"10.1007/978-3-030-62728-7_10/COVER","ISSN":"23639466","abstract":"In 2018, the common external borders of the 28 EU MS measure around 13,500 km of land borders and 66,000 km (41,000 ml) of coastlines. The area of ‘air borders’ could, where appropriate, be categorised by the number of international airports in all EU MS combined with all international inbound and outbound flights of the EU MS.","author":[{"dropping-particle":"","family":"Wagner","given":"Johann","non-dropping-particle":"","parse-names":false,"suffix":""}],"container-title":"Advanced Sciences and Technologies for Security Applications","id":"ITEM-1","issued":{"date-parts":[["2021"]]},"page":"229-243","publisher":"Springer","title":"Frontex—The EU Border Management and Coast Guard Agency","type":"chapter"},"uris":["http://www.mendeley.com/documents/?uuid=0f0d9361-303f-33ed-b69d-4b96481166bc","http://www.mendeley.com/documents/?uuid=3a172056-f3d6-4adc-a3a5-971fb879cb46"]}],"mendeley":{"formattedCitation":"Johann Wagner, ‘Frontex—The EU Border Management and Coast Guard Agency’, in &lt;i&gt;Advanced Sciences and Technologies for Security Applications&lt;/i&gt; (Springer, 2021), pp. 229–43 &lt;https://doi.org/10.1007/978-3-030-62728-7_10/COVER&gt;.","plainTextFormattedCitation":"Johann Wagner, ‘Frontex—The EU Border Management and Coast Guard Agency’, in Advanced Sciences and Technologies for Security Applications (Springer, 2021), pp. 229–43 .","previouslyFormattedCitation":"Johann Wagner, ‘Frontex—The EU Border Management and Coast Guard Agency’, in &lt;i&gt;Advanced Sciences and Technologies for Security Applications&lt;/i&gt; (Springer, 2021), pp. 229–43 &lt;https://doi.org/10.1007/978-3-030-62728-7_10/COVER&gt;."},"properties":{"noteIndex":42},"schema":"https://github.com/citation-style-language/schema/raw/master/csl-citation.json"}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Johann Wagner, ‘Frontex—The EU Border Management and Coast Guard Agency’, in </w:t>
      </w:r>
      <w:r w:rsidRPr="00F67E8A">
        <w:rPr>
          <w:rFonts w:ascii="Book Antiqua" w:hAnsi="Book Antiqua"/>
          <w:i/>
          <w:noProof/>
        </w:rPr>
        <w:t>Advanced Sciences and Technologies for Security Applications</w:t>
      </w:r>
      <w:r w:rsidRPr="00F67E8A">
        <w:rPr>
          <w:rFonts w:ascii="Book Antiqua" w:hAnsi="Book Antiqua"/>
          <w:noProof/>
        </w:rPr>
        <w:t xml:space="preserve"> (Springer, 2021), pp. 229–43 &lt;https://doi.org/10.1007/978-3-030-62728-7_10/COVER&gt;.</w:t>
      </w:r>
      <w:r w:rsidRPr="00F67E8A">
        <w:rPr>
          <w:rFonts w:ascii="Book Antiqua" w:hAnsi="Book Antiqua"/>
        </w:rPr>
        <w:fldChar w:fldCharType="end"/>
      </w:r>
    </w:p>
  </w:footnote>
  <w:footnote w:id="43">
    <w:p w14:paraId="577CC46C" w14:textId="762C442F" w:rsidR="00A81A21" w:rsidRPr="00F67E8A" w:rsidRDefault="00A81A21" w:rsidP="00A81A21">
      <w:pPr>
        <w:pStyle w:val="FootnoteText"/>
        <w:ind w:firstLine="720"/>
        <w:jc w:val="both"/>
        <w:rPr>
          <w:rFonts w:ascii="Book Antiqua" w:hAnsi="Book Antiqua"/>
          <w:lang w:val="id-ID"/>
        </w:rPr>
      </w:pPr>
      <w:r w:rsidRPr="00F67E8A">
        <w:rPr>
          <w:rStyle w:val="FootnoteReference"/>
          <w:rFonts w:ascii="Book Antiqua" w:hAnsi="Book Antiqua"/>
        </w:rPr>
        <w:footnoteRef/>
      </w:r>
      <w:r w:rsidRPr="00F67E8A">
        <w:rPr>
          <w:rFonts w:ascii="Book Antiqua" w:hAnsi="Book Antiqua"/>
        </w:rPr>
        <w:t xml:space="preserve"> </w:t>
      </w:r>
      <w:r w:rsidRPr="00F67E8A">
        <w:rPr>
          <w:rFonts w:ascii="Book Antiqua" w:hAnsi="Book Antiqua"/>
        </w:rPr>
        <w:fldChar w:fldCharType="begin" w:fldLock="1"/>
      </w:r>
      <w:r w:rsidRPr="00F67E8A">
        <w:rPr>
          <w:rFonts w:ascii="Book Antiqua" w:hAnsi="Book Antiqua"/>
        </w:rPr>
        <w:instrText>ADDIN CSL_CITATION {"citationItems":[{"id":"ITEM-1","itemData":{"DOI":"10.4324/9781003150145-2/COUNTER-TERRORISM-ASIA-ROHAN-GUNARATNA","ISBN":"9781000356977","abstract":"In the spectrum of conflict in ASEAN space, insurgency and terrorism is preceded by extremism and exclusivism. The strategy to prevent violent extremism (PVE) is to engage extremists while they live within their communities. Likewise, the strategy to counter violent extremism (CVE) is to engage in rehabilitation to deradicalize terrorists. Working in the pre-insurgency and pre-terrorism space is complex, but cost-effective. Implementing PVE and CVE strategies requires governments to collaborate with a range of partners, especially civil society organizations, to reach out, influence and shape the human terrain. An indispensable weapon in the fight against terrorism and extremism is rehabilitation and community engagement. Unless governments work with partners to rehabilitate terrorists and extremists, they will continue to pose a threat to security, spread their ideology, and be hailed as heroes. With terrorism and extremism emerging as the tier-one national security threat, it is vital for governments to restore stability and security by developing rehabilitation programmes for inmates and engagement programmes for radicalized individuals in the community. The Southeast Asian region has recognized the significance of rehabilitation, but not all the countries challenged by terrorism have succeeded in developing rehabilitation capabilities. While Malaysia and Singapore developed comprehensive and structured programmes, Indonesia and the Philippines developed ad hoc and unstructured programmes. Although the capabilities differed from country to country, ten modes of rehabilitation are practiced in the region. These are: (1) religious; (2) social and family; (3) educational; (4) vocational; (5) entrepreneurial; (6) cultural; (7) financial; (8) creative arts; (9) recreational; and (10) psychological.","author":[{"dropping-particle":"","family":"Gunaratna","given":"Rohan","non-dropping-particle":"","parse-names":false,"suffix":""}],"container-title":"Civil Society Organizations Against Terrorism: Case Studies from Asia","id":"ITEM-1","issued":{"date-parts":[["2021","3"]]},"number-of-pages":"14-62","publisher":"Taylor and Francis","title":"Counter-terrorism in Asia: The state partnership with civil society organizations","type":"book"},"uris":["http://www.mendeley.com/documents/?uuid=8ed652c1-179d-3487-81ab-bc2f4c1aadfb","http://www.mendeley.com/documents/?uuid=02337bdf-f772-4df3-a62d-071f8b2c7378"]},{"id":"ITEM-2","itemData":{"DOI":"10.15575/SAQ.V6I2.14233","ISSN":"25408445","abstract":"Tulisan ini berisi tentang konsep moderasi beragama dalam mencegah aksi terorisme di Indonesia. Penelitian ini merupakan penelitian kepustakaan liblary Research dengan menggunakan pendekatan studi komparatif antara buku Moderasi Beragama Kementerian Agama RI dengan UU No. 5 Tahun 2018. Dalam penelitian ini, penulis menemukan bahwa aksi-aksi terorisme di Indonesia terjadi karena adanya sikap ekstrem atau berlebihan dalam beragama. Selain itu, penulis juga menemukan bahwa Indonesia merupakan negara multikultural dan multiagama, sehingga konflik yang mengatasnamakan agama sangat rentan terjadi. Oleh karena itu, konsep tawassuth atau moderasi beragama merupakan cara yang efektif dan efesien dalam mencegah aksi terorisme di Indonesia. Penelitian ini bertujuan untuk memberi masukan keilmuan bagi TNI yang memiliki tugas pokok dalam mengatasi aksi terorisme di Indonesia, serta memberi pemahaman yang moderat bagi umat beragama di Indonesia.","author":[{"dropping-particle":"","family":"Mohan","given":"Muhammad Saleh Cahyadi","non-dropping-particle":"","parse-names":false,"suffix":""},{"dropping-particle":"","family":"Hakim","given":"Maman Lukmanul","non-dropping-particle":"","parse-names":false,"suffix":""}],"container-title":"Syifa al-Qulub","id":"ITEM-2","issue":"2","issued":{"date-parts":[["2022","1"]]},"page":"139-146","title":"Konsep Tawassuth Sebagai Upaya Preemtif Dalam Pencegahan Aksi Terorisme","type":"article-journal","volume":"6"},"uris":["http://www.mendeley.com/documents/?uuid=818eb10e-d1f8-3598-9d14-9ab651f33402","http://www.mendeley.com/documents/?uuid=690a2b53-d69b-4db4-ac41-b3778a4a8a11"]}],"mendeley":{"formattedCitation":"Rohan Gunaratna, &lt;i&gt;Counter-Terrorism in Asia: The State Partnership with Civil Society Organizations&lt;/i&gt;, &lt;i&gt;Civil Society Organizations Against Terrorism: Case Studies from Asia&lt;/i&gt; (Taylor and Francis, 2021) &lt;https://doi.org/10.4324/9781003150145-2/COUNTER-TERRORISM-ASIA-ROHAN-GUNARATNA&gt;; Muhammad Saleh Cahyadi Mohan and Maman Lukmanul Hakim, ‘Konsep Tawassuth Sebagai Upaya Preemtif Dalam Pencegahan Aksi Terorisme’, &lt;i&gt;Syifa Al-Qulub&lt;/i&gt;, 6.2 (2022), 139–46 &lt;https://doi.org/10.15575/SAQ.V6I2.14233&gt;.","plainTextFormattedCitation":"Rohan Gunaratna, Counter-Terrorism in Asia: The State Partnership with Civil Society Organizations, Civil Society Organizations Against Terrorism: Case Studies from Asia (Taylor and Francis, 2021) ; Muhammad Saleh Cahyadi Mohan and Maman Lukmanul Hakim, ‘Konsep Tawassuth Sebagai Upaya Preemtif Dalam Pencegahan Aksi Terorisme’, Syifa Al-Qulub, 6.2 (2022), 139–46 .","previouslyFormattedCitation":"Rohan Gunaratna, &lt;i&gt;Counter-Terrorism in Asia: The State Partnership with Civil Society Organizations&lt;/i&gt;, &lt;i&gt;Civil Society Organizations Against Terrorism: Case Studies from Asia&lt;/i&gt; (Taylor and Francis, 2021) &lt;https://doi.org/10.4324/9781003150145-2/COUNTER-TERRORISM-ASIA-ROHAN-GUNARATNA&gt;; Muhammad Saleh Cahyadi Mohan and Maman Lukmanul Hakim, ‘Konsep Tawassuth Sebagai Upaya Preemtif Dalam Pencegahan Aksi Terorisme’, &lt;i&gt;Syifa Al-Qulub&lt;/i&gt;, 6.2 (2022), 139–46 &lt;https://doi.org/10.15575/SAQ.V6I2.14233&gt;."},"properties":{"noteIndex":43},"schema":"https://github.com/citation-style-language/schema/raw/master/csl-citation.json"}</w:instrText>
      </w:r>
      <w:r w:rsidRPr="00F67E8A">
        <w:rPr>
          <w:rFonts w:ascii="Book Antiqua" w:hAnsi="Book Antiqua"/>
        </w:rPr>
        <w:fldChar w:fldCharType="separate"/>
      </w:r>
      <w:r w:rsidRPr="00F67E8A">
        <w:rPr>
          <w:rFonts w:ascii="Book Antiqua" w:hAnsi="Book Antiqua"/>
          <w:noProof/>
        </w:rPr>
        <w:t xml:space="preserve">Rohan Gunaratna, </w:t>
      </w:r>
      <w:r w:rsidRPr="00F67E8A">
        <w:rPr>
          <w:rFonts w:ascii="Book Antiqua" w:hAnsi="Book Antiqua"/>
          <w:i/>
          <w:noProof/>
        </w:rPr>
        <w:t>Counter-Terrorism in Asia: The State Partnership with Civil Society Organizations</w:t>
      </w:r>
      <w:r w:rsidRPr="00F67E8A">
        <w:rPr>
          <w:rFonts w:ascii="Book Antiqua" w:hAnsi="Book Antiqua"/>
          <w:noProof/>
        </w:rPr>
        <w:t xml:space="preserve">, </w:t>
      </w:r>
      <w:r w:rsidRPr="00F67E8A">
        <w:rPr>
          <w:rFonts w:ascii="Book Antiqua" w:hAnsi="Book Antiqua"/>
          <w:i/>
          <w:noProof/>
        </w:rPr>
        <w:t>Civil Society Organizations Against Terrorism: Case Studies from Asia</w:t>
      </w:r>
      <w:r w:rsidRPr="00F67E8A">
        <w:rPr>
          <w:rFonts w:ascii="Book Antiqua" w:hAnsi="Book Antiqua"/>
          <w:noProof/>
        </w:rPr>
        <w:t xml:space="preserve"> (Taylor and Francis, 2021) &lt;https://doi.org/10.4324/9781003150145-2/COUNTER-TERRORISM-ASIA-ROHAN-GUNARATNA&gt;; Muhammad Saleh Cahyadi Mohan and Maman Lukmanul Hakim, ‘Konsep Tawassuth Sebagai Upaya Preemtif Dalam Pencegahan Aksi Terorisme’, </w:t>
      </w:r>
      <w:r w:rsidRPr="00F67E8A">
        <w:rPr>
          <w:rFonts w:ascii="Book Antiqua" w:hAnsi="Book Antiqua"/>
          <w:i/>
          <w:noProof/>
        </w:rPr>
        <w:t>Syifa Al-Qulub</w:t>
      </w:r>
      <w:r w:rsidRPr="00F67E8A">
        <w:rPr>
          <w:rFonts w:ascii="Book Antiqua" w:hAnsi="Book Antiqua"/>
          <w:noProof/>
        </w:rPr>
        <w:t>, 6.2 (2022), 139–46 &lt;https://doi.org/10.15575/SAQ.V6I2.14233&gt;.</w:t>
      </w:r>
      <w:r w:rsidRPr="00F67E8A">
        <w:rPr>
          <w:rFonts w:ascii="Book Antiqua" w:hAnsi="Book Antiqua"/>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4F773589" w14:textId="77777777" w:rsidTr="00D161DE">
      <w:tc>
        <w:tcPr>
          <w:tcW w:w="1297" w:type="pct"/>
          <w:tcBorders>
            <w:bottom w:val="single" w:sz="4" w:space="0" w:color="943634"/>
          </w:tcBorders>
          <w:shd w:val="clear" w:color="auto" w:fill="943634"/>
          <w:vAlign w:val="bottom"/>
        </w:tcPr>
        <w:p w14:paraId="22F38A28"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407D4AE"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6B77013B"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2B4DA169" w14:textId="77777777" w:rsidR="00CA36DF" w:rsidRPr="00B20305" w:rsidRDefault="00CA36DF" w:rsidP="00CA36DF">
    <w:pPr>
      <w:pStyle w:val="Header"/>
      <w:rPr>
        <w:rFonts w:ascii="Garamond" w:hAnsi="Garamond"/>
      </w:rPr>
    </w:pPr>
  </w:p>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1349E100" w14:textId="77777777" w:rsidTr="00D161DE">
      <w:tc>
        <w:tcPr>
          <w:tcW w:w="1297" w:type="pct"/>
          <w:tcBorders>
            <w:bottom w:val="single" w:sz="4" w:space="0" w:color="943634"/>
          </w:tcBorders>
          <w:shd w:val="clear" w:color="auto" w:fill="943634"/>
          <w:vAlign w:val="bottom"/>
        </w:tcPr>
        <w:p w14:paraId="20D3C71C"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78A4566"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0E955E28"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6073D725" w:rsidR="002B1F0A" w:rsidRPr="00B20305" w:rsidRDefault="002B1F0A" w:rsidP="002B1F0A">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449EF379" w14:textId="2079298E" w:rsidR="002B1F0A" w:rsidRPr="00B20305" w:rsidRDefault="002B1F0A" w:rsidP="002B1F0A">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20EF4C3D" w14:textId="284C6C3A" w:rsidR="002B1F0A" w:rsidRPr="00B20305" w:rsidRDefault="002B1F0A" w:rsidP="002B1F0A">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4">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8">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6">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4CC2021A"/>
    <w:multiLevelType w:val="multilevel"/>
    <w:tmpl w:val="B02E3FD6"/>
    <w:numStyleLink w:val="Style1"/>
  </w:abstractNum>
  <w:abstractNum w:abstractNumId="31">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3">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9C407D5"/>
    <w:multiLevelType w:val="hybridMultilevel"/>
    <w:tmpl w:val="C3E264A8"/>
    <w:lvl w:ilvl="0" w:tplc="F850B55A">
      <w:start w:val="1"/>
      <w:numFmt w:val="lowerLetter"/>
      <w:lvlText w:val="%1."/>
      <w:lvlJc w:val="left"/>
      <w:pPr>
        <w:ind w:left="360" w:hanging="360"/>
      </w:pPr>
      <w:rPr>
        <w:rFonts w:eastAsiaTheme="minorHAnsi" w:hint="default"/>
        <w:b/>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6">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39">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40">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1">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3">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4">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8"/>
  </w:num>
  <w:num w:numId="2">
    <w:abstractNumId w:val="32"/>
  </w:num>
  <w:num w:numId="3">
    <w:abstractNumId w:val="42"/>
  </w:num>
  <w:num w:numId="4">
    <w:abstractNumId w:val="28"/>
  </w:num>
  <w:num w:numId="5">
    <w:abstractNumId w:val="36"/>
  </w:num>
  <w:num w:numId="6">
    <w:abstractNumId w:val="39"/>
  </w:num>
  <w:num w:numId="7">
    <w:abstractNumId w:val="37"/>
  </w:num>
  <w:num w:numId="8">
    <w:abstractNumId w:val="33"/>
  </w:num>
  <w:num w:numId="9">
    <w:abstractNumId w:val="26"/>
  </w:num>
  <w:num w:numId="10">
    <w:abstractNumId w:val="10"/>
  </w:num>
  <w:num w:numId="11">
    <w:abstractNumId w:val="9"/>
  </w:num>
  <w:num w:numId="12">
    <w:abstractNumId w:val="20"/>
  </w:num>
  <w:num w:numId="13">
    <w:abstractNumId w:val="12"/>
  </w:num>
  <w:num w:numId="14">
    <w:abstractNumId w:val="22"/>
  </w:num>
  <w:num w:numId="15">
    <w:abstractNumId w:val="43"/>
  </w:num>
  <w:num w:numId="16">
    <w:abstractNumId w:val="24"/>
  </w:num>
  <w:num w:numId="17">
    <w:abstractNumId w:val="15"/>
  </w:num>
  <w:num w:numId="18">
    <w:abstractNumId w:val="1"/>
  </w:num>
  <w:num w:numId="19">
    <w:abstractNumId w:val="2"/>
  </w:num>
  <w:num w:numId="20">
    <w:abstractNumId w:val="17"/>
  </w:num>
  <w:num w:numId="21">
    <w:abstractNumId w:val="11"/>
  </w:num>
  <w:num w:numId="22">
    <w:abstractNumId w:val="3"/>
  </w:num>
  <w:num w:numId="23">
    <w:abstractNumId w:val="41"/>
  </w:num>
  <w:num w:numId="24">
    <w:abstractNumId w:val="23"/>
  </w:num>
  <w:num w:numId="25">
    <w:abstractNumId w:val="7"/>
  </w:num>
  <w:num w:numId="26">
    <w:abstractNumId w:val="21"/>
  </w:num>
  <w:num w:numId="27">
    <w:abstractNumId w:val="18"/>
  </w:num>
  <w:num w:numId="28">
    <w:abstractNumId w:val="31"/>
  </w:num>
  <w:num w:numId="29">
    <w:abstractNumId w:val="44"/>
  </w:num>
  <w:num w:numId="30">
    <w:abstractNumId w:val="16"/>
  </w:num>
  <w:num w:numId="31">
    <w:abstractNumId w:val="14"/>
  </w:num>
  <w:num w:numId="32">
    <w:abstractNumId w:val="27"/>
  </w:num>
  <w:num w:numId="33">
    <w:abstractNumId w:val="40"/>
  </w:num>
  <w:num w:numId="34">
    <w:abstractNumId w:val="0"/>
  </w:num>
  <w:num w:numId="35">
    <w:abstractNumId w:val="8"/>
  </w:num>
  <w:num w:numId="36">
    <w:abstractNumId w:val="6"/>
  </w:num>
  <w:num w:numId="37">
    <w:abstractNumId w:val="25"/>
  </w:num>
  <w:num w:numId="38">
    <w:abstractNumId w:val="29"/>
  </w:num>
  <w:num w:numId="39">
    <w:abstractNumId w:val="5"/>
  </w:num>
  <w:num w:numId="40">
    <w:abstractNumId w:val="34"/>
  </w:num>
  <w:num w:numId="41">
    <w:abstractNumId w:val="13"/>
  </w:num>
  <w:num w:numId="42">
    <w:abstractNumId w:val="19"/>
  </w:num>
  <w:num w:numId="43">
    <w:abstractNumId w:val="30"/>
  </w:num>
  <w:num w:numId="44">
    <w:abstractNumId w:val="4"/>
  </w:num>
  <w:num w:numId="45">
    <w:abstractNumId w:val="3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MyNzE3tTQwMDczMzZU0lEKTi0uzszPAykwrwUAGO3EgCwAAAA="/>
  </w:docVars>
  <w:rsids>
    <w:rsidRoot w:val="006B786C"/>
    <w:rsid w:val="00000201"/>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31AC"/>
    <w:rsid w:val="00034C84"/>
    <w:rsid w:val="000416A3"/>
    <w:rsid w:val="000437AE"/>
    <w:rsid w:val="000474E3"/>
    <w:rsid w:val="00047710"/>
    <w:rsid w:val="000523C5"/>
    <w:rsid w:val="00053FB7"/>
    <w:rsid w:val="0006020A"/>
    <w:rsid w:val="00060330"/>
    <w:rsid w:val="00060914"/>
    <w:rsid w:val="00060F5C"/>
    <w:rsid w:val="00061D77"/>
    <w:rsid w:val="00062720"/>
    <w:rsid w:val="00064033"/>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D6D27"/>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3CAA"/>
    <w:rsid w:val="00185202"/>
    <w:rsid w:val="00186D3B"/>
    <w:rsid w:val="00187B69"/>
    <w:rsid w:val="0019050C"/>
    <w:rsid w:val="00192E8C"/>
    <w:rsid w:val="0019391D"/>
    <w:rsid w:val="00194280"/>
    <w:rsid w:val="00195579"/>
    <w:rsid w:val="001A0839"/>
    <w:rsid w:val="001A1282"/>
    <w:rsid w:val="001A1635"/>
    <w:rsid w:val="001A33EF"/>
    <w:rsid w:val="001B1E92"/>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77307"/>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54C27"/>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0EFD"/>
    <w:rsid w:val="003E11F6"/>
    <w:rsid w:val="003E304D"/>
    <w:rsid w:val="003E3D3C"/>
    <w:rsid w:val="003E4AA5"/>
    <w:rsid w:val="003E60BA"/>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15D43"/>
    <w:rsid w:val="00420D64"/>
    <w:rsid w:val="004218FA"/>
    <w:rsid w:val="00424E85"/>
    <w:rsid w:val="00425BE9"/>
    <w:rsid w:val="00427072"/>
    <w:rsid w:val="00427BF1"/>
    <w:rsid w:val="00433AA3"/>
    <w:rsid w:val="0043585C"/>
    <w:rsid w:val="00436524"/>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249"/>
    <w:rsid w:val="004B661B"/>
    <w:rsid w:val="004B76DC"/>
    <w:rsid w:val="004C0B2C"/>
    <w:rsid w:val="004C3BEB"/>
    <w:rsid w:val="004C59ED"/>
    <w:rsid w:val="004C65D5"/>
    <w:rsid w:val="004D6C24"/>
    <w:rsid w:val="004D7295"/>
    <w:rsid w:val="004D76D3"/>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87C"/>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409D"/>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A78CF"/>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1FB5"/>
    <w:rsid w:val="005F3D1C"/>
    <w:rsid w:val="005F534C"/>
    <w:rsid w:val="005F75F8"/>
    <w:rsid w:val="00602357"/>
    <w:rsid w:val="0060292A"/>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0A08"/>
    <w:rsid w:val="00682B00"/>
    <w:rsid w:val="00685028"/>
    <w:rsid w:val="006850AA"/>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1A6"/>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1B68"/>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B63F4"/>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350FD"/>
    <w:rsid w:val="009406FF"/>
    <w:rsid w:val="009416C1"/>
    <w:rsid w:val="00941CD2"/>
    <w:rsid w:val="0094367D"/>
    <w:rsid w:val="00943FA1"/>
    <w:rsid w:val="00945A5C"/>
    <w:rsid w:val="00945F29"/>
    <w:rsid w:val="00945F87"/>
    <w:rsid w:val="00946389"/>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86CAD"/>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263"/>
    <w:rsid w:val="009F3673"/>
    <w:rsid w:val="009F6FA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57E33"/>
    <w:rsid w:val="00A6261F"/>
    <w:rsid w:val="00A648CF"/>
    <w:rsid w:val="00A65242"/>
    <w:rsid w:val="00A653A6"/>
    <w:rsid w:val="00A65646"/>
    <w:rsid w:val="00A656B3"/>
    <w:rsid w:val="00A65ECB"/>
    <w:rsid w:val="00A662A3"/>
    <w:rsid w:val="00A6697F"/>
    <w:rsid w:val="00A6703D"/>
    <w:rsid w:val="00A71954"/>
    <w:rsid w:val="00A71C8A"/>
    <w:rsid w:val="00A71ED6"/>
    <w:rsid w:val="00A71F3C"/>
    <w:rsid w:val="00A75CE7"/>
    <w:rsid w:val="00A77E76"/>
    <w:rsid w:val="00A80090"/>
    <w:rsid w:val="00A80D8C"/>
    <w:rsid w:val="00A81A21"/>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34E7"/>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5D9B"/>
    <w:rsid w:val="00C861E6"/>
    <w:rsid w:val="00C93F76"/>
    <w:rsid w:val="00C948E9"/>
    <w:rsid w:val="00C949A5"/>
    <w:rsid w:val="00C9655A"/>
    <w:rsid w:val="00C96FCA"/>
    <w:rsid w:val="00C9754D"/>
    <w:rsid w:val="00C975DF"/>
    <w:rsid w:val="00C9764B"/>
    <w:rsid w:val="00CA36DF"/>
    <w:rsid w:val="00CA42F8"/>
    <w:rsid w:val="00CA5D84"/>
    <w:rsid w:val="00CC1960"/>
    <w:rsid w:val="00CC21DD"/>
    <w:rsid w:val="00CC6A2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3F9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1948"/>
    <w:rsid w:val="00E22D12"/>
    <w:rsid w:val="00E23F00"/>
    <w:rsid w:val="00E26A0F"/>
    <w:rsid w:val="00E27542"/>
    <w:rsid w:val="00E277B3"/>
    <w:rsid w:val="00E318D4"/>
    <w:rsid w:val="00E339EE"/>
    <w:rsid w:val="00E3557A"/>
    <w:rsid w:val="00E37524"/>
    <w:rsid w:val="00E4014C"/>
    <w:rsid w:val="00E401FC"/>
    <w:rsid w:val="00E418A9"/>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0770"/>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C761D"/>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49C"/>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67E8A"/>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541D"/>
    <w:rsid w:val="00F96DEB"/>
    <w:rsid w:val="00F97A43"/>
    <w:rsid w:val="00FA0403"/>
    <w:rsid w:val="00FA597D"/>
    <w:rsid w:val="00FA5B9A"/>
    <w:rsid w:val="00FB01B9"/>
    <w:rsid w:val="00FB5D9E"/>
    <w:rsid w:val="00FB763A"/>
    <w:rsid w:val="00FB79C0"/>
    <w:rsid w:val="00FC26F6"/>
    <w:rsid w:val="00FC2EB8"/>
    <w:rsid w:val="00FC5C43"/>
    <w:rsid w:val="00FC7927"/>
    <w:rsid w:val="00FD1598"/>
    <w:rsid w:val="00FD1AD5"/>
    <w:rsid w:val="00FD3100"/>
    <w:rsid w:val="00FD4AC9"/>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Recommendation,L,List Paragraph11,Body Text Char1,Char Char2,List Paragraph1,kepala"/>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customStyle="1"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customStyle="1" w:styleId="ListParagraphChar">
    <w:name w:val="List Paragraph Char"/>
    <w:aliases w:val="Recommendation Char,L Char,List Paragraph11 Char,Body Text Char1 Char,Char Char2 Char,List Paragraph1 Char,kepala Char"/>
    <w:link w:val="ListParagraph"/>
    <w:uiPriority w:val="34"/>
    <w:qFormat/>
    <w:locked/>
    <w:rsid w:val="001A1635"/>
    <w:rPr>
      <w:rFonts w:ascii="Calibri" w:hAnsi="Calibri"/>
      <w:sz w:val="22"/>
      <w:szCs w:val="22"/>
      <w:lang w:val="en-GB" w:eastAsia="en-GB"/>
    </w:rPr>
  </w:style>
  <w:style w:type="paragraph" w:customStyle="1" w:styleId="MediumGrid1-Accent21">
    <w:name w:val="Medium Grid 1 - Accent 21"/>
    <w:basedOn w:val="Normal"/>
    <w:uiPriority w:val="34"/>
    <w:qFormat/>
    <w:rsid w:val="001A1635"/>
    <w:pPr>
      <w:spacing w:after="200" w:line="276" w:lineRule="auto"/>
      <w:ind w:left="720"/>
      <w:contextualSpacing/>
    </w:pPr>
    <w:rPr>
      <w:rFonts w:ascii="Calibri" w:eastAsia="Times New Roman"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zainalhuda@g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199EF-5806-4286-B2AF-6D38E609A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4</TotalTime>
  <Pages>17</Pages>
  <Words>5591</Words>
  <Characters>31872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37389</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cp:lastModifiedBy>USER</cp:lastModifiedBy>
  <cp:revision>7</cp:revision>
  <cp:lastPrinted>2016-10-04T09:41:00Z</cp:lastPrinted>
  <dcterms:created xsi:type="dcterms:W3CDTF">2023-06-19T06:46:00Z</dcterms:created>
  <dcterms:modified xsi:type="dcterms:W3CDTF">2023-06-19T06:49:00Z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e2d5fd591fb7a430f5245ba17c34da334a59c831d184930a7d494f79f3108b8a</vt:lpwstr>
  </property>
  <property fmtid="{D5CDD505-2E9C-101B-9397-08002B2CF9AE}" pid="3" name="Mendeley Document_1">
    <vt:lpwstr>True</vt:lpwstr>
  </property>
  <property fmtid="{D5CDD505-2E9C-101B-9397-08002B2CF9AE}" pid="4" name="Mendeley Citation Style_1">
    <vt:lpwstr>http://www.zotero.org/styles/modern-humanities-research-association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https://csl.mendeley.com/styles/475823531/apa</vt:lpwstr>
  </property>
  <property fmtid="{D5CDD505-2E9C-101B-9397-08002B2CF9AE}" pid="10" name="Mendeley Recent Style Name 2_1">
    <vt:lpwstr>American Psychological Association 6th edition - Mincho Slavov</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(deprecated)</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y fmtid="{D5CDD505-2E9C-101B-9397-08002B2CF9AE}" pid="25" name="Mendeley Unique User Id_1">
    <vt:lpwstr>58fef887-4e2c-3a9e-bc0d-5b1699513872</vt:lpwstr>
  </property>
</Properties>
</file>