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A01F" w14:textId="43A42A84" w:rsidR="00F63E20" w:rsidRPr="00B56D4F" w:rsidRDefault="00FF00FB" w:rsidP="00F63E20">
      <w:pPr>
        <w:jc w:val="center"/>
        <w:rPr>
          <w:rFonts w:ascii="Book Antiqua" w:hAnsi="Book Antiqua"/>
          <w:b/>
          <w:sz w:val="24"/>
          <w:szCs w:val="24"/>
          <w:lang w:val="id-ID"/>
        </w:rPr>
      </w:pPr>
      <w:r w:rsidRPr="00FF00FB">
        <w:rPr>
          <w:rFonts w:ascii="Book Antiqua" w:hAnsi="Book Antiqua"/>
          <w:b/>
          <w:sz w:val="24"/>
          <w:szCs w:val="24"/>
          <w:lang w:val="id-ID"/>
        </w:rPr>
        <w:t>THE ANALYSIS OF DECISION OF THE CONSTITUTIONAL COURT NUMBER 97/PUU-XIV/2016 CONCERNING POPULATION ADMINISTRATION ON THE RIGHTS AND POSITION OF BELIEVERS</w:t>
      </w:r>
    </w:p>
    <w:p w14:paraId="03D1044E" w14:textId="77777777" w:rsidR="00904D6D" w:rsidRPr="00FF00FB" w:rsidRDefault="00904D6D" w:rsidP="00DB3F2B">
      <w:pPr>
        <w:jc w:val="center"/>
        <w:rPr>
          <w:rFonts w:ascii="Book Antiqua" w:hAnsi="Book Antiqua"/>
          <w:b/>
          <w:bCs/>
          <w:sz w:val="24"/>
          <w:szCs w:val="24"/>
          <w:lang w:val="id-ID"/>
        </w:rPr>
      </w:pPr>
    </w:p>
    <w:p w14:paraId="049EE42E" w14:textId="287067B1" w:rsidR="00904D6D" w:rsidRPr="0086667B" w:rsidRDefault="008805CF" w:rsidP="00DB3F2B">
      <w:pPr>
        <w:jc w:val="center"/>
        <w:rPr>
          <w:rFonts w:ascii="Book Antiqua" w:hAnsi="Book Antiqua"/>
          <w:b/>
          <w:bCs/>
          <w:sz w:val="24"/>
          <w:szCs w:val="24"/>
          <w:vertAlign w:val="superscript"/>
        </w:rPr>
      </w:pPr>
      <w:r w:rsidRPr="008805CF">
        <w:rPr>
          <w:rFonts w:ascii="Book Antiqua" w:hAnsi="Book Antiqua"/>
          <w:b/>
          <w:bCs/>
          <w:sz w:val="24"/>
          <w:szCs w:val="24"/>
          <w:lang w:val="id-ID"/>
        </w:rPr>
        <w:t>Abidin Latua</w:t>
      </w:r>
      <w:r w:rsidR="0086667B">
        <w:rPr>
          <w:rFonts w:ascii="Book Antiqua" w:hAnsi="Book Antiqua"/>
          <w:b/>
          <w:bCs/>
          <w:sz w:val="24"/>
          <w:szCs w:val="24"/>
          <w:vertAlign w:val="superscript"/>
        </w:rPr>
        <w:t>1</w:t>
      </w:r>
    </w:p>
    <w:p w14:paraId="5EA462E5" w14:textId="77777777" w:rsidR="0096558F" w:rsidRPr="00B56D4F" w:rsidRDefault="0096558F" w:rsidP="00DB3F2B">
      <w:pPr>
        <w:jc w:val="center"/>
        <w:rPr>
          <w:rFonts w:ascii="Book Antiqua" w:hAnsi="Book Antiqua"/>
          <w:b/>
          <w:bCs/>
          <w:sz w:val="24"/>
          <w:szCs w:val="24"/>
          <w:lang w:val="es-CO"/>
        </w:rPr>
      </w:pPr>
    </w:p>
    <w:p w14:paraId="0381C321" w14:textId="7B46B974" w:rsidR="008805CF" w:rsidRPr="008805CF" w:rsidRDefault="0086667B" w:rsidP="008805CF">
      <w:pPr>
        <w:pStyle w:val="NoSpacing"/>
        <w:jc w:val="center"/>
        <w:rPr>
          <w:rFonts w:ascii="Book Antiqua" w:hAnsi="Book Antiqua" w:cstheme="majorBidi"/>
          <w:sz w:val="24"/>
          <w:szCs w:val="24"/>
          <w:lang w:val="id-ID"/>
        </w:rPr>
      </w:pPr>
      <w:r>
        <w:rPr>
          <w:rFonts w:ascii="Book Antiqua" w:hAnsi="Book Antiqua" w:cstheme="majorBidi"/>
          <w:sz w:val="24"/>
          <w:szCs w:val="24"/>
          <w:vertAlign w:val="superscript"/>
        </w:rPr>
        <w:t>1</w:t>
      </w:r>
      <w:r w:rsidR="008805CF" w:rsidRPr="008805CF">
        <w:rPr>
          <w:rFonts w:ascii="Book Antiqua" w:hAnsi="Book Antiqua" w:cstheme="majorBidi"/>
          <w:sz w:val="24"/>
          <w:szCs w:val="24"/>
          <w:lang w:val="id-ID"/>
        </w:rPr>
        <w:t>S3 Ilmu Syari’ah UIN Sunan Kalijaga Yogyakarta</w:t>
      </w:r>
    </w:p>
    <w:p w14:paraId="24277AF8" w14:textId="2E2AB68E" w:rsidR="008805CF" w:rsidRPr="008805CF" w:rsidRDefault="008805CF" w:rsidP="008805CF">
      <w:pPr>
        <w:pStyle w:val="NoSpacing"/>
        <w:jc w:val="center"/>
        <w:rPr>
          <w:rFonts w:ascii="Book Antiqua" w:hAnsi="Book Antiqua" w:cstheme="majorBidi"/>
          <w:sz w:val="24"/>
          <w:szCs w:val="24"/>
          <w:lang w:val="id-ID"/>
        </w:rPr>
      </w:pPr>
      <w:r w:rsidRPr="008805CF">
        <w:rPr>
          <w:rFonts w:ascii="Book Antiqua" w:hAnsi="Book Antiqua" w:cstheme="majorBidi"/>
          <w:sz w:val="24"/>
          <w:szCs w:val="24"/>
          <w:lang w:val="id-ID"/>
        </w:rPr>
        <w:t xml:space="preserve">Email : </w:t>
      </w:r>
      <w:hyperlink r:id="rId8" w:history="1">
        <w:r w:rsidR="00B47F3E" w:rsidRPr="00E11630">
          <w:rPr>
            <w:rStyle w:val="Hyperlink"/>
            <w:rFonts w:ascii="Book Antiqua" w:hAnsi="Book Antiqua" w:cstheme="majorBidi"/>
            <w:sz w:val="24"/>
            <w:szCs w:val="24"/>
          </w:rPr>
          <w:t>a</w:t>
        </w:r>
        <w:r w:rsidR="00B47F3E" w:rsidRPr="00E11630">
          <w:rPr>
            <w:rStyle w:val="Hyperlink"/>
            <w:rFonts w:ascii="Book Antiqua" w:hAnsi="Book Antiqua" w:cstheme="majorBidi"/>
            <w:sz w:val="24"/>
            <w:szCs w:val="24"/>
            <w:lang w:val="id-ID"/>
          </w:rPr>
          <w:t>bidinlatua11@gmail.com</w:t>
        </w:r>
      </w:hyperlink>
    </w:p>
    <w:p w14:paraId="4681A41E" w14:textId="53050AF2" w:rsidR="00EE5A23" w:rsidRPr="00B56D4F" w:rsidRDefault="006D1334" w:rsidP="006D1334">
      <w:pPr>
        <w:jc w:val="center"/>
        <w:rPr>
          <w:rFonts w:ascii="Book Antiqua" w:hAnsi="Book Antiqua"/>
          <w:bCs/>
          <w:sz w:val="24"/>
          <w:szCs w:val="24"/>
          <w:lang w:val="id-ID"/>
        </w:rPr>
      </w:pPr>
      <w:r w:rsidRPr="00B56D4F">
        <w:rPr>
          <w:rFonts w:ascii="Book Antiqua" w:hAnsi="Book Antiqua"/>
          <w:bCs/>
          <w:sz w:val="24"/>
          <w:szCs w:val="24"/>
          <w:lang w:val="id-ID"/>
        </w:rPr>
        <w:t>.</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FF00FB">
        <w:trPr>
          <w:trHeight w:val="20"/>
        </w:trPr>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FF00FB">
        <w:trPr>
          <w:trHeight w:val="20"/>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58A03DC0" w:rsidR="007F76FD" w:rsidRPr="00B56D4F" w:rsidRDefault="00FF00FB" w:rsidP="00E27542">
            <w:pPr>
              <w:tabs>
                <w:tab w:val="left" w:pos="330"/>
              </w:tabs>
              <w:rPr>
                <w:rFonts w:ascii="Book Antiqua" w:hAnsi="Book Antiqua"/>
                <w:bCs/>
                <w:i/>
                <w:iCs/>
                <w:sz w:val="24"/>
                <w:szCs w:val="24"/>
              </w:rPr>
            </w:pPr>
            <w:r w:rsidRPr="00FF00FB">
              <w:rPr>
                <w:rFonts w:ascii="Book Antiqua" w:hAnsi="Book Antiqua"/>
                <w:i/>
                <w:sz w:val="24"/>
                <w:szCs w:val="24"/>
              </w:rPr>
              <w:t xml:space="preserve">Population Administration, Believers, Egalitarian, Non-discriminatory, Universal,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proofErr w:type="gramStart"/>
            <w:r w:rsidRPr="00FF00FB">
              <w:rPr>
                <w:rFonts w:ascii="Book Antiqua" w:hAnsi="Book Antiqua"/>
                <w:i/>
                <w:sz w:val="24"/>
                <w:szCs w:val="24"/>
              </w:rPr>
              <w:t>Syarī‘</w:t>
            </w:r>
            <w:proofErr w:type="gramEnd"/>
            <w:r w:rsidRPr="00FF00FB">
              <w:rPr>
                <w:rFonts w:ascii="Book Antiqua" w:hAnsi="Book Antiqua"/>
                <w:i/>
                <w:sz w:val="24"/>
                <w:szCs w:val="24"/>
              </w:rPr>
              <w:t>ah</w:t>
            </w:r>
            <w:proofErr w:type="spellEnd"/>
            <w:r w:rsidRPr="00FF00FB">
              <w:rPr>
                <w:rFonts w:ascii="Book Antiqua" w:hAnsi="Book Antiqua"/>
                <w:i/>
                <w:sz w:val="24"/>
                <w:szCs w:val="24"/>
              </w:rPr>
              <w:t>, Tolerance</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365C69F0" w:rsidR="00C67789" w:rsidRPr="00B56D4F" w:rsidRDefault="00FF00FB" w:rsidP="00E27542">
            <w:pPr>
              <w:jc w:val="both"/>
              <w:rPr>
                <w:rFonts w:ascii="Book Antiqua" w:hAnsi="Book Antiqua"/>
                <w:i/>
                <w:sz w:val="24"/>
                <w:szCs w:val="24"/>
              </w:rPr>
            </w:pPr>
            <w:r w:rsidRPr="00FF00FB">
              <w:rPr>
                <w:rFonts w:ascii="Book Antiqua" w:hAnsi="Book Antiqua"/>
                <w:i/>
                <w:sz w:val="24"/>
                <w:szCs w:val="24"/>
              </w:rPr>
              <w:t>The research is to take a closer and explicit look at the position of believers in the Constitutional Court's decision through synchronizing the existence or existence of believers in Yogyakarta. In order to ensure whether or not these concerns are true, and to what extent are the rights and positions guaranteed in the decision of the Constitutional Court, and what is the position of believers in the Constitutional Court Decision Number 97/PUUXIV/2016 concerning Population administration in terms of perspective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proofErr w:type="gramStart"/>
            <w:r w:rsidRPr="00FF00FB">
              <w:rPr>
                <w:rFonts w:ascii="Book Antiqua" w:hAnsi="Book Antiqua"/>
                <w:i/>
                <w:sz w:val="24"/>
                <w:szCs w:val="24"/>
              </w:rPr>
              <w:t>Syarī‘</w:t>
            </w:r>
            <w:proofErr w:type="gramEnd"/>
            <w:r w:rsidRPr="00FF00FB">
              <w:rPr>
                <w:rFonts w:ascii="Book Antiqua" w:hAnsi="Book Antiqua"/>
                <w:i/>
                <w:sz w:val="24"/>
                <w:szCs w:val="24"/>
              </w:rPr>
              <w:t>ah</w:t>
            </w:r>
            <w:proofErr w:type="spellEnd"/>
            <w:r w:rsidRPr="00FF00FB">
              <w:rPr>
                <w:rFonts w:ascii="Book Antiqua" w:hAnsi="Book Antiqua"/>
                <w:i/>
                <w:sz w:val="24"/>
                <w:szCs w:val="24"/>
              </w:rPr>
              <w:t xml:space="preserve">). The type of legal research used in the preparation of this research is field research, which is conducting direct observations with in-depth interviews with sources that have been determined based on the researcher's knowledge using the purposive sampling method. The approach used in this research is normative juridical (Statute Approach) and empirical or sociological juridical. The normative juridical approach is carried out by referring to the legal norms contained in the legislation, decisions and legal norms that exist in society. The results of the research show that the considerations of the judges of the Constitutional Court related to the Philosophical, Textual, and Sociological Legal Interpreters in deciding the case Number 97/PUU-XIV/2016 concerning the review of the Population Administration Law, have fulfilled the basic rights of believers and provide justice to adherents of the sect. trust, then when viewed with the study of Human Rights the Constitutional Court's decision has covered the rights of believers in line with the principles of non-discrimination, equality (egalitarian) and universal. Meanwhile, when reviewed with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r w:rsidRPr="00FF00FB">
              <w:rPr>
                <w:rFonts w:ascii="Book Antiqua" w:hAnsi="Book Antiqua"/>
                <w:i/>
                <w:sz w:val="24"/>
                <w:szCs w:val="24"/>
              </w:rPr>
              <w:t>Syarī'ah</w:t>
            </w:r>
            <w:proofErr w:type="spellEnd"/>
            <w:r w:rsidRPr="00FF00FB">
              <w:rPr>
                <w:rFonts w:ascii="Book Antiqua" w:hAnsi="Book Antiqua"/>
                <w:i/>
                <w:sz w:val="24"/>
                <w:szCs w:val="24"/>
              </w:rPr>
              <w:t xml:space="preserve">, the Constitutional Court's </w:t>
            </w:r>
            <w:r w:rsidRPr="00FF00FB">
              <w:rPr>
                <w:rFonts w:ascii="Book Antiqua" w:hAnsi="Book Antiqua"/>
                <w:i/>
                <w:sz w:val="24"/>
                <w:szCs w:val="24"/>
              </w:rPr>
              <w:lastRenderedPageBreak/>
              <w:t xml:space="preserve">decision is considered to have been in accordance with the objectives of the </w:t>
            </w:r>
            <w:proofErr w:type="spellStart"/>
            <w:r w:rsidRPr="00FF00FB">
              <w:rPr>
                <w:rFonts w:ascii="Book Antiqua" w:hAnsi="Book Antiqua"/>
                <w:i/>
                <w:sz w:val="24"/>
                <w:szCs w:val="24"/>
              </w:rPr>
              <w:t>Shari'a</w:t>
            </w:r>
            <w:proofErr w:type="spellEnd"/>
            <w:r w:rsidRPr="00FF00FB">
              <w:rPr>
                <w:rFonts w:ascii="Book Antiqua" w:hAnsi="Book Antiqua"/>
                <w:i/>
                <w:sz w:val="24"/>
                <w:szCs w:val="24"/>
              </w:rPr>
              <w:t xml:space="preserve">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r w:rsidRPr="00FF00FB">
              <w:rPr>
                <w:rFonts w:ascii="Book Antiqua" w:hAnsi="Book Antiqua"/>
                <w:i/>
                <w:sz w:val="24"/>
                <w:szCs w:val="24"/>
              </w:rPr>
              <w:t>Syarī'ah</w:t>
            </w:r>
            <w:proofErr w:type="spellEnd"/>
            <w:r w:rsidRPr="00FF00FB">
              <w:rPr>
                <w:rFonts w:ascii="Book Antiqua" w:hAnsi="Book Antiqua"/>
                <w:i/>
                <w:sz w:val="24"/>
                <w:szCs w:val="24"/>
              </w:rPr>
              <w:t>) in the form of safeguarding religion at the level of necessity</w:t>
            </w:r>
            <w:r w:rsidR="00E27542" w:rsidRPr="00B56D4F">
              <w:rPr>
                <w:rFonts w:ascii="Book Antiqua" w:hAnsi="Book Antiqua"/>
                <w:i/>
                <w:sz w:val="24"/>
                <w:szCs w:val="24"/>
              </w:rPr>
              <w:t>.</w:t>
            </w:r>
          </w:p>
        </w:tc>
      </w:tr>
    </w:tbl>
    <w:p w14:paraId="7FB7C41D" w14:textId="77777777" w:rsidR="0096558F" w:rsidRPr="00B56D4F" w:rsidRDefault="0096558F" w:rsidP="00DB3F2B">
      <w:pPr>
        <w:rPr>
          <w:rFonts w:ascii="Book Antiqua" w:hAnsi="Book Antiqua"/>
          <w:b/>
          <w:bCs/>
          <w:i/>
          <w:iCs/>
          <w:sz w:val="24"/>
          <w:szCs w:val="24"/>
          <w:lang w:val="id-ID"/>
        </w:rPr>
      </w:pPr>
    </w:p>
    <w:p w14:paraId="47EB920F" w14:textId="78897B64" w:rsidR="00DB3F2B" w:rsidRPr="00B56D4F" w:rsidRDefault="006D1334" w:rsidP="00882EA9">
      <w:pPr>
        <w:numPr>
          <w:ilvl w:val="0"/>
          <w:numId w:val="18"/>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5258CC95"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The decision of the Constitutional Court Number 97/PUU-XIV/2016 dated November 7, 2017 concerning Population Administration is one form of government embodiment in terms of maintaining and protecting diversity (</w:t>
      </w:r>
      <w:proofErr w:type="spellStart"/>
      <w:r w:rsidRPr="00FF00FB">
        <w:rPr>
          <w:rFonts w:ascii="Book Antiqua" w:hAnsi="Book Antiqua"/>
          <w:sz w:val="24"/>
          <w:szCs w:val="24"/>
        </w:rPr>
        <w:t>Nasihin</w:t>
      </w:r>
      <w:proofErr w:type="spellEnd"/>
      <w:r w:rsidRPr="00FF00FB">
        <w:rPr>
          <w:rFonts w:ascii="Book Antiqua" w:hAnsi="Book Antiqua"/>
          <w:sz w:val="24"/>
          <w:szCs w:val="24"/>
        </w:rPr>
        <w:t xml:space="preserve"> &amp; </w:t>
      </w:r>
      <w:proofErr w:type="spellStart"/>
      <w:r w:rsidRPr="00FF00FB">
        <w:rPr>
          <w:rFonts w:ascii="Book Antiqua" w:hAnsi="Book Antiqua"/>
          <w:sz w:val="24"/>
          <w:szCs w:val="24"/>
        </w:rPr>
        <w:t>Puteri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Anggita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Dewi</w:t>
      </w:r>
      <w:proofErr w:type="spellEnd"/>
      <w:r w:rsidRPr="00FF00FB">
        <w:rPr>
          <w:rFonts w:ascii="Book Antiqua" w:hAnsi="Book Antiqua"/>
          <w:sz w:val="24"/>
          <w:szCs w:val="24"/>
        </w:rPr>
        <w:t>, 2019). The decision stated that it was related to changing the religion column on the Family Card (Indonesian: KK) and Identity Card (Indonesian: KTP) to include his beliefs in the religion column (</w:t>
      </w:r>
      <w:proofErr w:type="spellStart"/>
      <w:r w:rsidRPr="00FF00FB">
        <w:rPr>
          <w:rFonts w:ascii="Book Antiqua" w:hAnsi="Book Antiqua"/>
          <w:sz w:val="24"/>
          <w:szCs w:val="24"/>
        </w:rPr>
        <w:t>Moh</w:t>
      </w:r>
      <w:proofErr w:type="spellEnd"/>
      <w:r w:rsidRPr="00FF00FB">
        <w:rPr>
          <w:rFonts w:ascii="Book Antiqua" w:hAnsi="Book Antiqua"/>
          <w:sz w:val="24"/>
          <w:szCs w:val="24"/>
        </w:rPr>
        <w:t>. Wahyu, 2018). Inclusion of “</w:t>
      </w:r>
      <w:proofErr w:type="spellStart"/>
      <w:r w:rsidRPr="00FF00FB">
        <w:rPr>
          <w:rFonts w:ascii="Book Antiqua" w:hAnsi="Book Antiqua"/>
          <w:sz w:val="24"/>
          <w:szCs w:val="24"/>
        </w:rPr>
        <w:t>Penghayat</w:t>
      </w:r>
      <w:proofErr w:type="spellEnd"/>
      <w:r w:rsidRPr="00FF00FB">
        <w:rPr>
          <w:rFonts w:ascii="Book Antiqua" w:hAnsi="Book Antiqua"/>
          <w:sz w:val="24"/>
          <w:szCs w:val="24"/>
        </w:rPr>
        <w:t>” on Family Card and Electronic ID card. This brings fresh air to the believers in Indonesia because with this decision the guarantee of legal protection for them is getting stronger. Where it was originally known that the Believers often receive discrimination in public services in terms of bureaucracy, education, job vacancy and several other things because the religion column on the ID card is filled with a flat line (strip).</w:t>
      </w:r>
    </w:p>
    <w:p w14:paraId="33AD46AC"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However, this decision raises many pros and cons (</w:t>
      </w:r>
      <w:proofErr w:type="spellStart"/>
      <w:r w:rsidRPr="00FF00FB">
        <w:rPr>
          <w:rFonts w:ascii="Book Antiqua" w:hAnsi="Book Antiqua"/>
          <w:sz w:val="24"/>
          <w:szCs w:val="24"/>
        </w:rPr>
        <w:t>Muwaffiq</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Jufri</w:t>
      </w:r>
      <w:proofErr w:type="spellEnd"/>
      <w:r w:rsidRPr="00FF00FB">
        <w:rPr>
          <w:rFonts w:ascii="Book Antiqua" w:hAnsi="Book Antiqua"/>
          <w:sz w:val="24"/>
          <w:szCs w:val="24"/>
        </w:rPr>
        <w:t xml:space="preserve">, 2020). In this case, the decision of the Constitutional Court can lead to a new polemic on the dynamics of the integrity and harmony of religious communities in Indonesia. As for groups that have a contradictory attitude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xml:space="preserve">, n.d.) to the decision of the Constitutional Court, they assume that </w:t>
      </w:r>
      <w:proofErr w:type="gramStart"/>
      <w:r w:rsidRPr="00FF00FB">
        <w:rPr>
          <w:rFonts w:ascii="Book Antiqua" w:hAnsi="Book Antiqua"/>
          <w:sz w:val="24"/>
          <w:szCs w:val="24"/>
        </w:rPr>
        <w:t>first,  the</w:t>
      </w:r>
      <w:proofErr w:type="gramEnd"/>
      <w:r w:rsidRPr="00FF00FB">
        <w:rPr>
          <w:rFonts w:ascii="Book Antiqua" w:hAnsi="Book Antiqua"/>
          <w:sz w:val="24"/>
          <w:szCs w:val="24"/>
        </w:rPr>
        <w:t xml:space="preserve"> Constitutional Court in the trial process does not involve the Indonesian Ulema Council (Indonesian: MUI) as an agency competent in matters of religion and belief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n.d.). Second, the Constitutional Court is considered not careful in reviewing religion and beliefs (</w:t>
      </w:r>
      <w:proofErr w:type="spellStart"/>
      <w:r w:rsidRPr="00FF00FB">
        <w:rPr>
          <w:rFonts w:ascii="Book Antiqua" w:hAnsi="Book Antiqua"/>
          <w:sz w:val="24"/>
          <w:szCs w:val="24"/>
        </w:rPr>
        <w:t>Jufri</w:t>
      </w:r>
      <w:proofErr w:type="spellEnd"/>
      <w:r w:rsidRPr="00FF00FB">
        <w:rPr>
          <w:rFonts w:ascii="Book Antiqua" w:hAnsi="Book Antiqua"/>
          <w:sz w:val="24"/>
          <w:szCs w:val="24"/>
        </w:rPr>
        <w:t>, 2020), Third, that the Constitutional Court's decision has the potential to be misused and exploited (</w:t>
      </w:r>
      <w:proofErr w:type="spellStart"/>
      <w:r w:rsidRPr="00FF00FB">
        <w:rPr>
          <w:rFonts w:ascii="Book Antiqua" w:hAnsi="Book Antiqua"/>
          <w:sz w:val="24"/>
          <w:szCs w:val="24"/>
        </w:rPr>
        <w:t>Budijanto</w:t>
      </w:r>
      <w:proofErr w:type="spellEnd"/>
      <w:r w:rsidRPr="00FF00FB">
        <w:rPr>
          <w:rFonts w:ascii="Book Antiqua" w:hAnsi="Book Antiqua"/>
          <w:sz w:val="24"/>
          <w:szCs w:val="24"/>
        </w:rPr>
        <w:t>, 2016). These reasons are stated because the meaning of religion and belief cannot be equated. So that the writing of belief in the religion column contained in the Family Card and Electronic Identity Card is not appropriate.</w:t>
      </w:r>
    </w:p>
    <w:p w14:paraId="197D0675"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In the understanding of the group that agrees with the decision of the Constitutional Court, they believe that all legal considerations by the judges of the Constitutional Court are to equalize the rights and positions of believers (</w:t>
      </w:r>
      <w:proofErr w:type="spellStart"/>
      <w:r w:rsidRPr="00FF00FB">
        <w:rPr>
          <w:rFonts w:ascii="Book Antiqua" w:hAnsi="Book Antiqua"/>
          <w:sz w:val="24"/>
          <w:szCs w:val="24"/>
        </w:rPr>
        <w:t>Moh</w:t>
      </w:r>
      <w:proofErr w:type="spellEnd"/>
      <w:r w:rsidRPr="00FF00FB">
        <w:rPr>
          <w:rFonts w:ascii="Book Antiqua" w:hAnsi="Book Antiqua"/>
          <w:sz w:val="24"/>
          <w:szCs w:val="24"/>
        </w:rPr>
        <w:t xml:space="preserve">. Wahyu, 2018) before the constitution and the Republic of Indonesia. </w:t>
      </w:r>
      <w:proofErr w:type="gramStart"/>
      <w:r w:rsidRPr="00FF00FB">
        <w:rPr>
          <w:rFonts w:ascii="Book Antiqua" w:hAnsi="Book Antiqua"/>
          <w:sz w:val="24"/>
          <w:szCs w:val="24"/>
        </w:rPr>
        <w:t>So</w:t>
      </w:r>
      <w:proofErr w:type="gramEnd"/>
      <w:r w:rsidRPr="00FF00FB">
        <w:rPr>
          <w:rFonts w:ascii="Book Antiqua" w:hAnsi="Book Antiqua"/>
          <w:sz w:val="24"/>
          <w:szCs w:val="24"/>
        </w:rPr>
        <w:t xml:space="preserve"> the writing of trust in the Family card and Identity card columns is something that should have been done a long time ago. </w:t>
      </w:r>
    </w:p>
    <w:p w14:paraId="6C6D8567"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Based on the response to the decision of the Constitutional Court Number 97/PUU-XIV/2016 concerning Population </w:t>
      </w:r>
      <w:proofErr w:type="gramStart"/>
      <w:r w:rsidRPr="00FF00FB">
        <w:rPr>
          <w:rFonts w:ascii="Book Antiqua" w:hAnsi="Book Antiqua"/>
          <w:sz w:val="24"/>
          <w:szCs w:val="24"/>
        </w:rPr>
        <w:t xml:space="preserve">Administration  </w:t>
      </w:r>
      <w:r w:rsidRPr="00FF00FB">
        <w:rPr>
          <w:rFonts w:ascii="Book Antiqua" w:hAnsi="Book Antiqua"/>
          <w:sz w:val="24"/>
          <w:szCs w:val="24"/>
        </w:rPr>
        <w:lastRenderedPageBreak/>
        <w:t>Constitutional</w:t>
      </w:r>
      <w:proofErr w:type="gramEnd"/>
      <w:r w:rsidRPr="00FF00FB">
        <w:rPr>
          <w:rFonts w:ascii="Book Antiqua" w:hAnsi="Book Antiqua"/>
          <w:sz w:val="24"/>
          <w:szCs w:val="24"/>
        </w:rPr>
        <w:t xml:space="preserve"> Court Decision Number 97/PUU-XIV/2016 concerning the Submission of Law Number 23 of 2006, n.d.), it is necessary to take continuous steps by the government to form/issue policies in terms of regulations that include the limit variable “Believers” without having to discriminate against one party, religious group or belief group.</w:t>
      </w:r>
    </w:p>
    <w:p w14:paraId="40A3A486"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The definition of adherents of a belief can be categorized as a society that still cultivates, traditions, inherited from their ancestors (HM </w:t>
      </w:r>
      <w:proofErr w:type="spellStart"/>
      <w:r w:rsidRPr="00FF00FB">
        <w:rPr>
          <w:rFonts w:ascii="Book Antiqua" w:hAnsi="Book Antiqua"/>
          <w:sz w:val="24"/>
          <w:szCs w:val="24"/>
        </w:rPr>
        <w:t>Rasidi</w:t>
      </w:r>
      <w:proofErr w:type="spellEnd"/>
      <w:r w:rsidRPr="00FF00FB">
        <w:rPr>
          <w:rFonts w:ascii="Book Antiqua" w:hAnsi="Book Antiqua"/>
          <w:sz w:val="24"/>
          <w:szCs w:val="24"/>
        </w:rPr>
        <w:t>, 1997) in Indonesia who believe in God Almighty, as known as animism and dynamism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2007). The existence of adherents of belief in Indonesia (local religions) still exists and is growing rapidly, especially after the 2016 Constitutional Court ruling was presented.</w:t>
      </w:r>
    </w:p>
    <w:p w14:paraId="60EB75EE"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The Special Region of Yogyakarta is one area that is rich with the uniqueness of local culture </w:t>
      </w:r>
      <w:proofErr w:type="gramStart"/>
      <w:r w:rsidRPr="00FF00FB">
        <w:rPr>
          <w:rFonts w:ascii="Book Antiqua" w:hAnsi="Book Antiqua"/>
          <w:sz w:val="24"/>
          <w:szCs w:val="24"/>
        </w:rPr>
        <w:t xml:space="preserve">( </w:t>
      </w:r>
      <w:proofErr w:type="spellStart"/>
      <w:r w:rsidRPr="00FF00FB">
        <w:rPr>
          <w:rFonts w:ascii="Book Antiqua" w:hAnsi="Book Antiqua"/>
          <w:sz w:val="24"/>
          <w:szCs w:val="24"/>
        </w:rPr>
        <w:t>Majelis</w:t>
      </w:r>
      <w:proofErr w:type="spellEnd"/>
      <w:proofErr w:type="gramEnd"/>
      <w:r w:rsidRPr="00FF00FB">
        <w:rPr>
          <w:rFonts w:ascii="Book Antiqua" w:hAnsi="Book Antiqua"/>
          <w:sz w:val="24"/>
          <w:szCs w:val="24"/>
        </w:rPr>
        <w:t xml:space="preserve"> </w:t>
      </w:r>
      <w:proofErr w:type="spellStart"/>
      <w:r w:rsidRPr="00FF00FB">
        <w:rPr>
          <w:rFonts w:ascii="Book Antiqua" w:hAnsi="Book Antiqua"/>
          <w:sz w:val="24"/>
          <w:szCs w:val="24"/>
        </w:rPr>
        <w:t>Luhur</w:t>
      </w:r>
      <w:proofErr w:type="spellEnd"/>
      <w:r w:rsidRPr="00FF00FB">
        <w:rPr>
          <w:rFonts w:ascii="Book Antiqua" w:hAnsi="Book Antiqua"/>
          <w:sz w:val="24"/>
          <w:szCs w:val="24"/>
        </w:rPr>
        <w:t xml:space="preserve"> Belief in God Almighty, Indonesia, Yogyakarta Special Region, 2017). Such as the preservation of ancestral local religions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2015).  The belief in God Almighty in Yogyakarta is recorded in the institutional archives of the Yogyakarta Special Regional Trustees Council called MLKI DIY as many as 37 types of associations/faith associations (believers) (</w:t>
      </w:r>
      <w:proofErr w:type="spellStart"/>
      <w:r w:rsidRPr="00FF00FB">
        <w:rPr>
          <w:rFonts w:ascii="Book Antiqua" w:hAnsi="Book Antiqua"/>
          <w:sz w:val="24"/>
          <w:szCs w:val="24"/>
        </w:rPr>
        <w:t>Syafi’ie</w:t>
      </w:r>
      <w:proofErr w:type="spellEnd"/>
      <w:r w:rsidRPr="00FF00FB">
        <w:rPr>
          <w:rFonts w:ascii="Book Antiqua" w:hAnsi="Book Antiqua"/>
          <w:sz w:val="24"/>
          <w:szCs w:val="24"/>
        </w:rPr>
        <w:t xml:space="preserve">, 2012).  The types of belief in God consist of: </w:t>
      </w:r>
      <w:proofErr w:type="spellStart"/>
      <w:r w:rsidRPr="00FF00FB">
        <w:rPr>
          <w:rFonts w:ascii="Book Antiqua" w:hAnsi="Book Antiqua"/>
          <w:sz w:val="24"/>
          <w:szCs w:val="24"/>
        </w:rPr>
        <w:t>Persada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Sumarah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Sumarah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Purbo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Angsti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Sampurnaning</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Kautamen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Sukoreno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Hangudi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Bawanatata</w:t>
      </w:r>
      <w:proofErr w:type="spellEnd"/>
      <w:r w:rsidRPr="00FF00FB">
        <w:rPr>
          <w:rFonts w:ascii="Book Antiqua" w:hAnsi="Book Antiqua"/>
          <w:sz w:val="24"/>
          <w:szCs w:val="24"/>
        </w:rPr>
        <w:t xml:space="preserve"> Lahir </w:t>
      </w:r>
      <w:proofErr w:type="spellStart"/>
      <w:r w:rsidRPr="00FF00FB">
        <w:rPr>
          <w:rFonts w:ascii="Book Antiqua" w:hAnsi="Book Antiqua"/>
          <w:sz w:val="24"/>
          <w:szCs w:val="24"/>
        </w:rPr>
        <w:t>Batin</w:t>
      </w:r>
      <w:proofErr w:type="spellEnd"/>
      <w:r w:rsidRPr="00FF00FB">
        <w:rPr>
          <w:rFonts w:ascii="Book Antiqua" w:hAnsi="Book Antiqua"/>
          <w:sz w:val="24"/>
          <w:szCs w:val="24"/>
        </w:rPr>
        <w:t xml:space="preserve">, Mardi </w:t>
      </w:r>
      <w:proofErr w:type="spellStart"/>
      <w:r w:rsidRPr="00FF00FB">
        <w:rPr>
          <w:rFonts w:ascii="Book Antiqua" w:hAnsi="Book Antiqua"/>
          <w:sz w:val="24"/>
          <w:szCs w:val="24"/>
        </w:rPr>
        <w:t>Santosaning</w:t>
      </w:r>
      <w:proofErr w:type="spellEnd"/>
      <w:r w:rsidRPr="00FF00FB">
        <w:rPr>
          <w:rFonts w:ascii="Book Antiqua" w:hAnsi="Book Antiqua"/>
          <w:sz w:val="24"/>
          <w:szCs w:val="24"/>
        </w:rPr>
        <w:t xml:space="preserve"> Budi, Tri </w:t>
      </w:r>
      <w:proofErr w:type="spellStart"/>
      <w:r w:rsidRPr="00FF00FB">
        <w:rPr>
          <w:rFonts w:ascii="Book Antiqua" w:hAnsi="Book Antiqua"/>
          <w:sz w:val="24"/>
          <w:szCs w:val="24"/>
        </w:rPr>
        <w:t>Soka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Persatuan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Eklasing</w:t>
      </w:r>
      <w:proofErr w:type="spellEnd"/>
      <w:r w:rsidRPr="00FF00FB">
        <w:rPr>
          <w:rFonts w:ascii="Book Antiqua" w:hAnsi="Book Antiqua"/>
          <w:sz w:val="24"/>
          <w:szCs w:val="24"/>
        </w:rPr>
        <w:t xml:space="preserve"> Budi </w:t>
      </w:r>
      <w:proofErr w:type="spellStart"/>
      <w:r w:rsidRPr="00FF00FB">
        <w:rPr>
          <w:rFonts w:ascii="Book Antiqua" w:hAnsi="Book Antiqua"/>
          <w:sz w:val="24"/>
          <w:szCs w:val="24"/>
        </w:rPr>
        <w:t>Murko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Pekri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Bondan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Kejawan</w:t>
      </w:r>
      <w:proofErr w:type="spellEnd"/>
      <w:r w:rsidRPr="00FF00FB">
        <w:rPr>
          <w:rFonts w:ascii="Book Antiqua" w:hAnsi="Book Antiqua"/>
          <w:sz w:val="24"/>
          <w:szCs w:val="24"/>
        </w:rPr>
        <w:t xml:space="preserve">, Sastra </w:t>
      </w:r>
      <w:proofErr w:type="spellStart"/>
      <w:r w:rsidRPr="00FF00FB">
        <w:rPr>
          <w:rFonts w:ascii="Book Antiqua" w:hAnsi="Book Antiqua"/>
          <w:sz w:val="24"/>
          <w:szCs w:val="24"/>
        </w:rPr>
        <w:t>Jendra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Hardo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Pusoro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Palang</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Putih</w:t>
      </w:r>
      <w:proofErr w:type="spellEnd"/>
      <w:r w:rsidRPr="00FF00FB">
        <w:rPr>
          <w:rFonts w:ascii="Book Antiqua" w:hAnsi="Book Antiqua"/>
          <w:sz w:val="24"/>
          <w:szCs w:val="24"/>
        </w:rPr>
        <w:t xml:space="preserve"> Nusantara, SBP 45, </w:t>
      </w:r>
      <w:proofErr w:type="spellStart"/>
      <w:r w:rsidRPr="00FF00FB">
        <w:rPr>
          <w:rFonts w:ascii="Book Antiqua" w:hAnsi="Book Antiqua"/>
          <w:sz w:val="24"/>
          <w:szCs w:val="24"/>
        </w:rPr>
        <w:t>Ngesti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roso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Minggu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Kliwon</w:t>
      </w:r>
      <w:proofErr w:type="spellEnd"/>
      <w:r w:rsidRPr="00FF00FB">
        <w:rPr>
          <w:rFonts w:ascii="Book Antiqua" w:hAnsi="Book Antiqua"/>
          <w:sz w:val="24"/>
          <w:szCs w:val="24"/>
        </w:rPr>
        <w:t xml:space="preserve">, DAS, </w:t>
      </w:r>
      <w:proofErr w:type="spellStart"/>
      <w:r w:rsidRPr="00FF00FB">
        <w:rPr>
          <w:rFonts w:ascii="Book Antiqua" w:hAnsi="Book Antiqua"/>
          <w:sz w:val="24"/>
          <w:szCs w:val="24"/>
        </w:rPr>
        <w:t>Anggayuh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Panglereming</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Napsu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Hak</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Sejati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Anurogo</w:t>
      </w:r>
      <w:proofErr w:type="spellEnd"/>
      <w:r w:rsidRPr="00FF00FB">
        <w:rPr>
          <w:rFonts w:ascii="Book Antiqua" w:hAnsi="Book Antiqua"/>
          <w:sz w:val="24"/>
          <w:szCs w:val="24"/>
        </w:rPr>
        <w:t xml:space="preserve"> Sri </w:t>
      </w:r>
      <w:proofErr w:type="spellStart"/>
      <w:r w:rsidRPr="00FF00FB">
        <w:rPr>
          <w:rFonts w:ascii="Book Antiqua" w:hAnsi="Book Antiqua"/>
          <w:sz w:val="24"/>
          <w:szCs w:val="24"/>
        </w:rPr>
        <w:t>Sadono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Tulis</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Tanpo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Papan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Kasampurnaan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Jati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Hidup</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Betul</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Imbal</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Wacono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Ngudi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Utomo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Trajumas</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Jati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Luhur</w:t>
      </w:r>
      <w:proofErr w:type="spellEnd"/>
      <w:r w:rsidRPr="00FF00FB">
        <w:rPr>
          <w:rFonts w:ascii="Book Antiqua" w:hAnsi="Book Antiqua"/>
          <w:sz w:val="24"/>
          <w:szCs w:val="24"/>
        </w:rPr>
        <w:t xml:space="preserve">, Guru </w:t>
      </w:r>
      <w:proofErr w:type="spellStart"/>
      <w:r w:rsidRPr="00FF00FB">
        <w:rPr>
          <w:rFonts w:ascii="Book Antiqua" w:hAnsi="Book Antiqua"/>
          <w:sz w:val="24"/>
          <w:szCs w:val="24"/>
        </w:rPr>
        <w:t>Sejati</w:t>
      </w:r>
      <w:proofErr w:type="spellEnd"/>
      <w:r w:rsidRPr="00FF00FB">
        <w:rPr>
          <w:rFonts w:ascii="Book Antiqua" w:hAnsi="Book Antiqua"/>
          <w:sz w:val="24"/>
          <w:szCs w:val="24"/>
        </w:rPr>
        <w:t xml:space="preserve">, Tri Jaya, </w:t>
      </w:r>
      <w:proofErr w:type="spellStart"/>
      <w:r w:rsidRPr="00FF00FB">
        <w:rPr>
          <w:rFonts w:ascii="Book Antiqua" w:hAnsi="Book Antiqua"/>
          <w:sz w:val="24"/>
          <w:szCs w:val="24"/>
        </w:rPr>
        <w:t>Budoyo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Suksmo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Umat</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Pransuh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Subud</w:t>
      </w:r>
      <w:proofErr w:type="spellEnd"/>
      <w:r w:rsidRPr="00FF00FB">
        <w:rPr>
          <w:rFonts w:ascii="Book Antiqua" w:hAnsi="Book Antiqua"/>
          <w:sz w:val="24"/>
          <w:szCs w:val="24"/>
        </w:rPr>
        <w:t xml:space="preserve">, Tri Tunggal </w:t>
      </w:r>
      <w:proofErr w:type="spellStart"/>
      <w:r w:rsidRPr="00FF00FB">
        <w:rPr>
          <w:rFonts w:ascii="Book Antiqua" w:hAnsi="Book Antiqua"/>
          <w:sz w:val="24"/>
          <w:szCs w:val="24"/>
        </w:rPr>
        <w:t>Bayu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Aliran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Kebatinan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Perjalanan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Kapribadhen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Ngesti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Kasampurnan</w:t>
      </w:r>
      <w:proofErr w:type="spellEnd"/>
      <w:r w:rsidRPr="00FF00FB">
        <w:rPr>
          <w:rFonts w:ascii="Book Antiqua" w:hAnsi="Book Antiqua"/>
          <w:sz w:val="24"/>
          <w:szCs w:val="24"/>
        </w:rPr>
        <w:t xml:space="preserve">. This is the percentage of the Hermitage for Believers in the Special Region of Yogyakarta, which is in third place (Muhammad Firdaus, 2007) as the highest city of adherents of a belief in Indonesia. </w:t>
      </w:r>
    </w:p>
    <w:p w14:paraId="44180FB7"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Drawing a common thread on the initial hypothesis regarding sustainable steps that must be taken by the government to protect the unity and integrity of the Indonesian state, the authors are interested in explicitly examining the position of believers in belief in the Constitutional Court Decision Number 97/PUU-XIV/2016 with synchronization of the existence of believers in belief (Amir </w:t>
      </w:r>
      <w:proofErr w:type="spellStart"/>
      <w:r w:rsidRPr="00FF00FB">
        <w:rPr>
          <w:rFonts w:ascii="Book Antiqua" w:hAnsi="Book Antiqua"/>
          <w:sz w:val="24"/>
          <w:szCs w:val="24"/>
        </w:rPr>
        <w:t>Mu’alim</w:t>
      </w:r>
      <w:proofErr w:type="spellEnd"/>
      <w:r w:rsidRPr="00FF00FB">
        <w:rPr>
          <w:rFonts w:ascii="Book Antiqua" w:hAnsi="Book Antiqua"/>
          <w:sz w:val="24"/>
          <w:szCs w:val="24"/>
        </w:rPr>
        <w:t xml:space="preserve"> dan </w:t>
      </w:r>
      <w:proofErr w:type="spellStart"/>
      <w:r w:rsidRPr="00FF00FB">
        <w:rPr>
          <w:rFonts w:ascii="Book Antiqua" w:hAnsi="Book Antiqua"/>
          <w:sz w:val="24"/>
          <w:szCs w:val="24"/>
        </w:rPr>
        <w:t>Yusdani</w:t>
      </w:r>
      <w:proofErr w:type="spellEnd"/>
      <w:r w:rsidRPr="00FF00FB">
        <w:rPr>
          <w:rFonts w:ascii="Book Antiqua" w:hAnsi="Book Antiqua"/>
          <w:sz w:val="24"/>
          <w:szCs w:val="24"/>
        </w:rPr>
        <w:t>, 1999), by choosing Yogyakarta as the research location. In this case, the Yogyakarta city ranks third as the city with the largest number of believers, consisting of 14 (fourteen) Hermitage of believers.</w:t>
      </w:r>
    </w:p>
    <w:p w14:paraId="6A1FBAA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This article focuses on the level of study after the Constitutional Court Decision Number 97/PUU-XIV/2016, related to how the position of believers in the Constitutional Court Decision Number 97/PUU-XIV/2016 concerning Population Administration is viewed from the perspective of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w:t>
      </w:r>
      <w:r w:rsidRPr="00FF00FB">
        <w:rPr>
          <w:rFonts w:ascii="Book Antiqua" w:hAnsi="Book Antiqua"/>
          <w:sz w:val="24"/>
          <w:szCs w:val="24"/>
        </w:rPr>
        <w:lastRenderedPageBreak/>
        <w:t>Syarī'ah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xml:space="preserve">, 2008). In analyzing the problems above, the author will use the theoretical framework of </w:t>
      </w:r>
      <w:proofErr w:type="spellStart"/>
      <w:r w:rsidRPr="00FF00FB">
        <w:rPr>
          <w:rFonts w:ascii="Book Antiqua" w:hAnsi="Book Antiqua"/>
          <w:sz w:val="24"/>
          <w:szCs w:val="24"/>
        </w:rPr>
        <w:t>Jaser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xml:space="preserve"> regarding </w:t>
      </w:r>
      <w:proofErr w:type="spellStart"/>
      <w:r w:rsidRPr="00FF00FB">
        <w:rPr>
          <w:rFonts w:ascii="Book Antiqua" w:hAnsi="Book Antiqua"/>
          <w:sz w:val="24"/>
          <w:szCs w:val="24"/>
        </w:rPr>
        <w:t>Maqasid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Syari'ah</w:t>
      </w:r>
      <w:proofErr w:type="spellEnd"/>
      <w:r w:rsidRPr="00FF00FB">
        <w:rPr>
          <w:rFonts w:ascii="Book Antiqua" w:hAnsi="Book Antiqua"/>
          <w:sz w:val="24"/>
          <w:szCs w:val="24"/>
        </w:rPr>
        <w:t xml:space="preserve"> to see the protection of religious rights in the decision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xml:space="preserve">, 2007). The protection of the right to religion is the basis for protecting the objectives of other </w:t>
      </w:r>
      <w:proofErr w:type="spellStart"/>
      <w:r w:rsidRPr="00FF00FB">
        <w:rPr>
          <w:rFonts w:ascii="Book Antiqua" w:hAnsi="Book Antiqua"/>
          <w:sz w:val="24"/>
          <w:szCs w:val="24"/>
        </w:rPr>
        <w:t>Shari'a</w:t>
      </w:r>
      <w:proofErr w:type="spellEnd"/>
      <w:r w:rsidRPr="00FF00FB">
        <w:rPr>
          <w:rFonts w:ascii="Book Antiqua" w:hAnsi="Book Antiqua"/>
          <w:sz w:val="24"/>
          <w:szCs w:val="24"/>
        </w:rPr>
        <w:t xml:space="preserve"> because if adherents of a certain religion (according to the provisions of the law) are not properly protected, there will be a potential for clashes between religious communities. This also results in the threat of life, intellect, lineage, and property of adherents of certain religions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2015). So that the protection of religion becomes the basis for protecting the rights of protecting the soul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nafs</w:t>
      </w:r>
      <w:proofErr w:type="spellEnd"/>
      <w:r w:rsidRPr="00FF00FB">
        <w:rPr>
          <w:rFonts w:ascii="Book Antiqua" w:hAnsi="Book Antiqua"/>
          <w:sz w:val="24"/>
          <w:szCs w:val="24"/>
        </w:rPr>
        <w:t>), guarding reason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gramStart"/>
      <w:r w:rsidRPr="00FF00FB">
        <w:rPr>
          <w:rFonts w:ascii="Book Antiqua" w:hAnsi="Book Antiqua"/>
          <w:sz w:val="24"/>
          <w:szCs w:val="24"/>
        </w:rPr>
        <w:t>-‘</w:t>
      </w:r>
      <w:proofErr w:type="spellStart"/>
      <w:proofErr w:type="gramEnd"/>
      <w:r w:rsidRPr="00FF00FB">
        <w:rPr>
          <w:rFonts w:ascii="Book Antiqua" w:hAnsi="Book Antiqua"/>
          <w:sz w:val="24"/>
          <w:szCs w:val="24"/>
        </w:rPr>
        <w:t>aql</w:t>
      </w:r>
      <w:proofErr w:type="spellEnd"/>
      <w:r w:rsidRPr="00FF00FB">
        <w:rPr>
          <w:rFonts w:ascii="Book Antiqua" w:hAnsi="Book Antiqua"/>
          <w:sz w:val="24"/>
          <w:szCs w:val="24"/>
        </w:rPr>
        <w:t>), protecting offspring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nasl</w:t>
      </w:r>
      <w:proofErr w:type="spellEnd"/>
      <w:r w:rsidRPr="00FF00FB">
        <w:rPr>
          <w:rFonts w:ascii="Book Antiqua" w:hAnsi="Book Antiqua"/>
          <w:sz w:val="24"/>
          <w:szCs w:val="24"/>
        </w:rPr>
        <w:t>), and protecting property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spellStart"/>
      <w:r w:rsidRPr="00FF00FB">
        <w:rPr>
          <w:rFonts w:ascii="Book Antiqua" w:hAnsi="Book Antiqua"/>
          <w:sz w:val="24"/>
          <w:szCs w:val="24"/>
        </w:rPr>
        <w:t>māl</w:t>
      </w:r>
      <w:proofErr w:type="spellEnd"/>
      <w:r w:rsidRPr="00FF00FB">
        <w:rPr>
          <w:rFonts w:ascii="Book Antiqua" w:hAnsi="Book Antiqua"/>
          <w:sz w:val="24"/>
          <w:szCs w:val="24"/>
        </w:rPr>
        <w:t>).</w:t>
      </w:r>
    </w:p>
    <w:p w14:paraId="5E490E22"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Regarding the study of the Constitutional Court Decision Number 97/PUU-XIV/2016, there have been several researches and studies including, written by </w:t>
      </w:r>
      <w:proofErr w:type="spellStart"/>
      <w:r w:rsidRPr="00FF00FB">
        <w:rPr>
          <w:rFonts w:ascii="Book Antiqua" w:hAnsi="Book Antiqua"/>
          <w:sz w:val="24"/>
          <w:szCs w:val="24"/>
        </w:rPr>
        <w:t>Moh</w:t>
      </w:r>
      <w:proofErr w:type="spellEnd"/>
      <w:r w:rsidRPr="00FF00FB">
        <w:rPr>
          <w:rFonts w:ascii="Book Antiqua" w:hAnsi="Book Antiqua"/>
          <w:sz w:val="24"/>
          <w:szCs w:val="24"/>
        </w:rPr>
        <w:t>. Wahyu in his thesis study is more normative juridical or known as the type of research literature study related to "Analysis of the Entry of Beliefs in the Religion Column in Family Cards and Identity Cards (Study of Constitutional Court Decision Number 97/PUU-XIV/2016 concerning Judicial Review of Laws) Population Administration Law)” the discussion is more about the interpretation of the Constitutional Court which equates religion and belief (</w:t>
      </w:r>
      <w:proofErr w:type="spellStart"/>
      <w:r w:rsidRPr="00FF00FB">
        <w:rPr>
          <w:rFonts w:ascii="Book Antiqua" w:hAnsi="Book Antiqua"/>
          <w:sz w:val="24"/>
          <w:szCs w:val="24"/>
        </w:rPr>
        <w:t>Hertato</w:t>
      </w:r>
      <w:proofErr w:type="spellEnd"/>
      <w:r w:rsidRPr="00FF00FB">
        <w:rPr>
          <w:rFonts w:ascii="Book Antiqua" w:hAnsi="Book Antiqua"/>
          <w:sz w:val="24"/>
          <w:szCs w:val="24"/>
        </w:rPr>
        <w:t xml:space="preserve"> Basuki, 2015). </w:t>
      </w:r>
    </w:p>
    <w:p w14:paraId="33B00A4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In addition, in another article, a paper in the form of a journal with the title "Respect for Human Rights for Believers in the Bandung City " by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xml:space="preserve">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xml:space="preserve">, n.d.). This paper raises a major theme regarding the Implementation of Respect for Human Rights (Human Rights) in Indonesia. More specifically, equal distribution of civil rights for Indonesian citizens, especially for Believers, who still often receive discrimination in the fulfillment of their civil rights, due to the different meanings of "Religion and Belief". The writing study is based on the problems that occurred in the city of Bandung regarding the general public's (non-Believers) rejection of funerals for Believers of the </w:t>
      </w:r>
      <w:proofErr w:type="spellStart"/>
      <w:r w:rsidRPr="00FF00FB">
        <w:rPr>
          <w:rFonts w:ascii="Book Antiqua" w:hAnsi="Book Antiqua"/>
          <w:sz w:val="24"/>
          <w:szCs w:val="24"/>
        </w:rPr>
        <w:t>cemetary</w:t>
      </w:r>
      <w:proofErr w:type="spellEnd"/>
      <w:r w:rsidRPr="00FF00FB">
        <w:rPr>
          <w:rFonts w:ascii="Book Antiqua" w:hAnsi="Book Antiqua"/>
          <w:sz w:val="24"/>
          <w:szCs w:val="24"/>
        </w:rPr>
        <w:t xml:space="preserve">, which means that the refusal is contrary to Article 8 paragraph (2) of the Joint Regulation of the Minister of Home Affairs and the Minister of Culture and Tourism Number 43 of 2009 and Number 41 of 2009 concerning Service Guidelines for Believers in God Almighty. </w:t>
      </w:r>
    </w:p>
    <w:p w14:paraId="03878DDB"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This journal/article was created and published before the DECISION OF THE CONSTITUTIONAL COURT NUMBER 97/PUU-XIV/2016 CONCERNING POPULATION ADMINISTRATION, so that the findings in the paper have not been integrated with the values stipulated in this Decision. This article is a reference for thinking in the conception of implementing regulations regarding tolerance for religious beliefs, so it is necessary for the author to use it as a reference / review of the literature to be used as a source of ideas in the preparation of the author's dissertation.</w:t>
      </w:r>
    </w:p>
    <w:p w14:paraId="0259BD4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lastRenderedPageBreak/>
        <w:t xml:space="preserve">Furthermore, </w:t>
      </w:r>
      <w:proofErr w:type="spellStart"/>
      <w:r w:rsidRPr="00FF00FB">
        <w:rPr>
          <w:rFonts w:ascii="Book Antiqua" w:hAnsi="Book Antiqua"/>
          <w:sz w:val="24"/>
          <w:szCs w:val="24"/>
        </w:rPr>
        <w:t>Muwaffiq</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Jufri's</w:t>
      </w:r>
      <w:proofErr w:type="spellEnd"/>
      <w:r w:rsidRPr="00FF00FB">
        <w:rPr>
          <w:rFonts w:ascii="Book Antiqua" w:hAnsi="Book Antiqua"/>
          <w:sz w:val="24"/>
          <w:szCs w:val="24"/>
        </w:rPr>
        <w:t xml:space="preserve"> journal paper entitled "Potential Equality of Religion with Beliefs in Indonesia Study of Constitutional Court Decision Number 97/PUU-XIV/2016" (</w:t>
      </w:r>
      <w:proofErr w:type="spellStart"/>
      <w:r w:rsidRPr="00FF00FB">
        <w:rPr>
          <w:rFonts w:ascii="Book Antiqua" w:hAnsi="Book Antiqua"/>
          <w:sz w:val="24"/>
          <w:szCs w:val="24"/>
        </w:rPr>
        <w:t>Muwaffiq</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Jufri</w:t>
      </w:r>
      <w:proofErr w:type="spellEnd"/>
      <w:r w:rsidRPr="00FF00FB">
        <w:rPr>
          <w:rFonts w:ascii="Book Antiqua" w:hAnsi="Book Antiqua"/>
          <w:sz w:val="24"/>
          <w:szCs w:val="24"/>
        </w:rPr>
        <w:t xml:space="preserve">, 2020). This paper raises a major theme regarding the Equality of Religion and Belief in Indonesia, </w:t>
      </w:r>
      <w:proofErr w:type="gramStart"/>
      <w:r w:rsidRPr="00FF00FB">
        <w:rPr>
          <w:rFonts w:ascii="Book Antiqua" w:hAnsi="Book Antiqua"/>
          <w:sz w:val="24"/>
          <w:szCs w:val="24"/>
        </w:rPr>
        <w:t>This</w:t>
      </w:r>
      <w:proofErr w:type="gramEnd"/>
      <w:r w:rsidRPr="00FF00FB">
        <w:rPr>
          <w:rFonts w:ascii="Book Antiqua" w:hAnsi="Book Antiqua"/>
          <w:sz w:val="24"/>
          <w:szCs w:val="24"/>
        </w:rPr>
        <w:t xml:space="preserve"> article tries to explain the existence of the Constitutional Court Decision Number 97/PUU-XIV/2016 is a progressive step in an effort to stop all discriminatory policies of the state against the legal status of religious beliefs, which are considered as products culture outside the state's official religious qualifications. The written study is based on the Judge's Considerations and Arguments in Decision Number 97/PUU-XIV/2016 regarding the distinction between religion and Belief in the provisions of Article 28E paragraph (1) and Article 28E paragraph (2) of the 1945 Constitution of the Republic of Indonesia which provide legal implications that put religion and belief in different conceptions, and this distinction also places beliefs that are not part of the conception of religion.</w:t>
      </w:r>
    </w:p>
    <w:p w14:paraId="47BF723C"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The approach method used in writing this article is a sociological juridical approach. The juridical approach is to identify and conceptualize law as a real and functional social institution in a real-life system. The sociological juridical approach emphasizes research that aims to obtain legal knowledge in principle by going directly to the object.</w:t>
      </w:r>
    </w:p>
    <w:p w14:paraId="168E440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This article begins with a discussion of the contents of the Constitutional Court's decision Number 97/PUU-XIV/2016, followed by a review of the legal interpretation of the judges of the Constitutional Court regarding the decision of the Constitutional Court Number 97/PUU-XIV/2016, analyzing the position of Believers in the Constitutional Court's decision. on Population Administration in the review of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asy-Syarī'ah</w:t>
      </w:r>
      <w:proofErr w:type="spellEnd"/>
      <w:r w:rsidRPr="00FF00FB">
        <w:rPr>
          <w:rFonts w:ascii="Book Antiqua" w:hAnsi="Book Antiqua"/>
          <w:sz w:val="24"/>
          <w:szCs w:val="24"/>
        </w:rPr>
        <w:t>.</w:t>
      </w:r>
    </w:p>
    <w:p w14:paraId="7C3DB43E" w14:textId="6AD4EEC0" w:rsidR="00882EA9" w:rsidRPr="00B56D4F" w:rsidRDefault="00FF00FB" w:rsidP="00FF00FB">
      <w:pPr>
        <w:ind w:left="284" w:firstLine="567"/>
        <w:jc w:val="both"/>
        <w:rPr>
          <w:rFonts w:ascii="Book Antiqua" w:hAnsi="Book Antiqua"/>
          <w:sz w:val="24"/>
          <w:szCs w:val="24"/>
        </w:rPr>
      </w:pPr>
      <w:r w:rsidRPr="00FF00FB">
        <w:rPr>
          <w:rFonts w:ascii="Book Antiqua" w:hAnsi="Book Antiqua"/>
          <w:sz w:val="24"/>
          <w:szCs w:val="24"/>
        </w:rPr>
        <w:t>The Position of Believers in the Decision of the Constitutional Court Number 97/</w:t>
      </w:r>
      <w:proofErr w:type="spellStart"/>
      <w:r w:rsidRPr="00FF00FB">
        <w:rPr>
          <w:rFonts w:ascii="Book Antiqua" w:hAnsi="Book Antiqua"/>
          <w:sz w:val="24"/>
          <w:szCs w:val="24"/>
        </w:rPr>
        <w:t>Puu-Xiv</w:t>
      </w:r>
      <w:proofErr w:type="spellEnd"/>
      <w:r w:rsidRPr="00FF00FB">
        <w:rPr>
          <w:rFonts w:ascii="Book Antiqua" w:hAnsi="Book Antiqua"/>
          <w:sz w:val="24"/>
          <w:szCs w:val="24"/>
        </w:rPr>
        <w:t>/2016 concerning Population Administration</w:t>
      </w:r>
      <w:r w:rsidR="006D1334" w:rsidRPr="00B56D4F">
        <w:rPr>
          <w:rFonts w:ascii="Book Antiqua" w:hAnsi="Book Antiqua"/>
          <w:sz w:val="24"/>
          <w:szCs w:val="24"/>
        </w:rPr>
        <w:t>.</w:t>
      </w:r>
    </w:p>
    <w:p w14:paraId="067135C1" w14:textId="77777777" w:rsidR="006D1334" w:rsidRPr="00B56D4F" w:rsidRDefault="006D1334" w:rsidP="00882EA9">
      <w:pPr>
        <w:ind w:left="-142"/>
        <w:jc w:val="both"/>
        <w:rPr>
          <w:rFonts w:ascii="Book Antiqua" w:hAnsi="Book Antiqua"/>
          <w:b/>
          <w:bCs/>
          <w:sz w:val="24"/>
          <w:szCs w:val="24"/>
          <w:lang w:val="id-ID"/>
        </w:rPr>
      </w:pPr>
    </w:p>
    <w:p w14:paraId="6638B578" w14:textId="4B0317ED" w:rsidR="0077318C"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2. </w:t>
      </w:r>
      <w:r w:rsidR="006D1334" w:rsidRPr="00B56D4F">
        <w:rPr>
          <w:rFonts w:ascii="Book Antiqua" w:hAnsi="Book Antiqua"/>
          <w:b/>
          <w:bCs/>
          <w:sz w:val="24"/>
          <w:szCs w:val="24"/>
          <w:lang w:val="id-ID"/>
        </w:rPr>
        <w:t>Research Method</w:t>
      </w:r>
    </w:p>
    <w:p w14:paraId="54DD07BB" w14:textId="2B3BFB6E" w:rsidR="00B47F3E" w:rsidRPr="00B47F3E" w:rsidRDefault="00B47F3E" w:rsidP="00FF00FB">
      <w:pPr>
        <w:ind w:left="284" w:firstLine="567"/>
        <w:jc w:val="both"/>
        <w:rPr>
          <w:rFonts w:ascii="Book Antiqua" w:hAnsi="Book Antiqua"/>
          <w:sz w:val="24"/>
          <w:szCs w:val="24"/>
        </w:rPr>
      </w:pPr>
      <w:r w:rsidRPr="00B47F3E">
        <w:rPr>
          <w:rFonts w:ascii="Book Antiqua" w:hAnsi="Book Antiqua"/>
          <w:sz w:val="24"/>
          <w:szCs w:val="24"/>
        </w:rPr>
        <w:t>This research method is sourced from field research (field research) and library research (library research) with qualitative methods</w:t>
      </w:r>
      <w:r w:rsidR="00E253D1">
        <w:rPr>
          <w:rFonts w:ascii="Book Antiqua" w:hAnsi="Book Antiqua"/>
          <w:sz w:val="24"/>
          <w:szCs w:val="24"/>
        </w:rPr>
        <w:t xml:space="preserve"> </w:t>
      </w:r>
      <w:r w:rsidR="00E253D1">
        <w:rPr>
          <w:rFonts w:ascii="Book Antiqua" w:hAnsi="Book Antiqua"/>
          <w:sz w:val="24"/>
          <w:szCs w:val="24"/>
        </w:rPr>
        <w:fldChar w:fldCharType="begin" w:fldLock="1"/>
      </w:r>
      <w:r w:rsidR="00E253D1">
        <w:rPr>
          <w:rFonts w:ascii="Book Antiqua" w:hAnsi="Book Antiqua"/>
          <w:sz w:val="24"/>
          <w:szCs w:val="24"/>
        </w:rPr>
        <w:instrText>ADDIN CSL_CITATION {"citationItems":[{"id":"ITEM-1","itemData":{"ISBN":"9786025522055","author":[{"dropping-particle":"","family":"Qamar","given":"N","non-dropping-particle":"","parse-names":false,"suffix":""},{"dropping-particle":"","family":"Syarif","given":"M","non-dropping-particle":"","parse-names":false,"suffix":""},{"dropping-particle":"","family":"Busthami","given":"D S","non-dropping-particle":"","parse-names":false,"suffix":""},{"dropping-particle":"","family":"Hidjaz","given":"M K","non-dropping-particle":"","parse-names":false,"suffix":""},{"dropping-particle":"","family":"Aswari","given":"A","non-dropping-particle":"","parse-names":false,"suffix":""},{"dropping-particle":"","family":"Djanggih","given":"H","non-dropping-particle":"","parse-names":false,"suffix":""},{"dropping-particle":"","family":"Rezah","given":"F S","non-dropping-particle":"","parse-names":false,"suffix":""}],"id":"ITEM-1","issued":{"date-parts":[["2017"]]},"publisher":"CV. Social Politic Genius (SIGn)","title":"Metode Penelitian Hukum (Legal Research Methods)","type":"book"},"uris":["http://www.mendeley.com/documents/?uuid=8554dee3-5fb8-4d6b-8664-069f0db46e76"]}],"mendeley":{"formattedCitation":"(Qamar et al., 2017)","plainTextFormattedCitation":"(Qamar et al., 2017)","previouslyFormattedCitation":"(Qamar et al., 2017)"},"properties":{"noteIndex":0},"schema":"https://github.com/citation-style-language/schema/raw/master/csl-citation.json"}</w:instrText>
      </w:r>
      <w:r w:rsidR="00E253D1">
        <w:rPr>
          <w:rFonts w:ascii="Book Antiqua" w:hAnsi="Book Antiqua"/>
          <w:sz w:val="24"/>
          <w:szCs w:val="24"/>
        </w:rPr>
        <w:fldChar w:fldCharType="separate"/>
      </w:r>
      <w:r w:rsidR="00E253D1" w:rsidRPr="00E253D1">
        <w:rPr>
          <w:rFonts w:ascii="Book Antiqua" w:hAnsi="Book Antiqua"/>
          <w:noProof/>
          <w:sz w:val="24"/>
          <w:szCs w:val="24"/>
        </w:rPr>
        <w:t>(Qamar et al., 2017)</w:t>
      </w:r>
      <w:r w:rsidR="00E253D1">
        <w:rPr>
          <w:rFonts w:ascii="Book Antiqua" w:hAnsi="Book Antiqua"/>
          <w:sz w:val="24"/>
          <w:szCs w:val="24"/>
        </w:rPr>
        <w:fldChar w:fldCharType="end"/>
      </w:r>
      <w:r w:rsidRPr="00B47F3E">
        <w:rPr>
          <w:rFonts w:ascii="Book Antiqua" w:hAnsi="Book Antiqua"/>
          <w:sz w:val="24"/>
          <w:szCs w:val="24"/>
        </w:rPr>
        <w:t>.</w:t>
      </w:r>
      <w:r>
        <w:rPr>
          <w:rFonts w:ascii="Book Antiqua" w:hAnsi="Book Antiqua"/>
          <w:sz w:val="24"/>
          <w:szCs w:val="24"/>
        </w:rPr>
        <w:t xml:space="preserve"> </w:t>
      </w:r>
      <w:r w:rsidR="00B31A3A" w:rsidRPr="00B31A3A">
        <w:rPr>
          <w:rFonts w:ascii="Book Antiqua" w:hAnsi="Book Antiqua"/>
          <w:sz w:val="24"/>
          <w:szCs w:val="24"/>
        </w:rPr>
        <w:t xml:space="preserve">This research uses </w:t>
      </w:r>
      <w:proofErr w:type="spellStart"/>
      <w:r w:rsidR="00B31A3A" w:rsidRPr="00B31A3A">
        <w:rPr>
          <w:rFonts w:ascii="Book Antiqua" w:hAnsi="Book Antiqua"/>
          <w:sz w:val="24"/>
          <w:szCs w:val="24"/>
        </w:rPr>
        <w:t>Gracia's</w:t>
      </w:r>
      <w:proofErr w:type="spellEnd"/>
      <w:r w:rsidR="00B31A3A" w:rsidRPr="00B31A3A">
        <w:rPr>
          <w:rFonts w:ascii="Book Antiqua" w:hAnsi="Book Antiqua"/>
          <w:sz w:val="24"/>
          <w:szCs w:val="24"/>
        </w:rPr>
        <w:t xml:space="preserve"> interpretation theory approach</w:t>
      </w:r>
      <w:r w:rsidR="00E253D1">
        <w:rPr>
          <w:rFonts w:ascii="Book Antiqua" w:hAnsi="Book Antiqua"/>
          <w:sz w:val="24"/>
          <w:szCs w:val="24"/>
        </w:rPr>
        <w:t xml:space="preserve"> </w:t>
      </w:r>
      <w:r w:rsidR="00E253D1">
        <w:rPr>
          <w:rFonts w:ascii="Book Antiqua" w:hAnsi="Book Antiqua"/>
          <w:sz w:val="24"/>
          <w:szCs w:val="24"/>
        </w:rPr>
        <w:fldChar w:fldCharType="begin" w:fldLock="1"/>
      </w:r>
      <w:r w:rsidR="009410ED">
        <w:rPr>
          <w:rFonts w:ascii="Book Antiqua" w:hAnsi="Book Antiqua"/>
          <w:sz w:val="24"/>
          <w:szCs w:val="24"/>
        </w:rPr>
        <w:instrText>ADDIN CSL_CITATION {"citationItems":[{"id":"ITEM-1","itemData":{"ISBN":"9786020895727","author":[{"dropping-particle":"","family":"Diantha","given":"I Made Pasek","non-dropping-particle":"","parse-names":false,"suffix":""}],"id":"ITEM-1","issued":{"date-parts":[["2016"]]},"publisher":"Prenada Media","title":"Metodologi Penelitian Hukum Normatif dalam Justifikasi Teori Hukum","type":"book"},"uris":["http://www.mendeley.com/documents/?uuid=6c3215dd-d5cd-4b77-9ffb-46efdff82512"]}],"mendeley":{"formattedCitation":"(Diantha, 2016)","plainTextFormattedCitation":"(Diantha, 2016)","previouslyFormattedCitation":"(Diantha, 2016)"},"properties":{"noteIndex":0},"schema":"https://github.com/citation-style-language/schema/raw/master/csl-citation.json"}</w:instrText>
      </w:r>
      <w:r w:rsidR="00E253D1">
        <w:rPr>
          <w:rFonts w:ascii="Book Antiqua" w:hAnsi="Book Antiqua"/>
          <w:sz w:val="24"/>
          <w:szCs w:val="24"/>
        </w:rPr>
        <w:fldChar w:fldCharType="separate"/>
      </w:r>
      <w:r w:rsidR="00E253D1" w:rsidRPr="00E253D1">
        <w:rPr>
          <w:rFonts w:ascii="Book Antiqua" w:hAnsi="Book Antiqua"/>
          <w:noProof/>
          <w:sz w:val="24"/>
          <w:szCs w:val="24"/>
        </w:rPr>
        <w:t>(Diantha, 2016)</w:t>
      </w:r>
      <w:r w:rsidR="00E253D1">
        <w:rPr>
          <w:rFonts w:ascii="Book Antiqua" w:hAnsi="Book Antiqua"/>
          <w:sz w:val="24"/>
          <w:szCs w:val="24"/>
        </w:rPr>
        <w:fldChar w:fldCharType="end"/>
      </w:r>
      <w:r w:rsidR="00B31A3A" w:rsidRPr="00B31A3A">
        <w:rPr>
          <w:rFonts w:ascii="Book Antiqua" w:hAnsi="Book Antiqua"/>
          <w:sz w:val="24"/>
          <w:szCs w:val="24"/>
        </w:rPr>
        <w:t xml:space="preserve">. </w:t>
      </w:r>
      <w:proofErr w:type="spellStart"/>
      <w:r w:rsidR="00B31A3A" w:rsidRPr="00B31A3A">
        <w:rPr>
          <w:rFonts w:ascii="Book Antiqua" w:hAnsi="Book Antiqua"/>
          <w:sz w:val="24"/>
          <w:szCs w:val="24"/>
        </w:rPr>
        <w:t>Gracia's</w:t>
      </w:r>
      <w:proofErr w:type="spellEnd"/>
      <w:r w:rsidR="00B31A3A" w:rsidRPr="00B31A3A">
        <w:rPr>
          <w:rFonts w:ascii="Book Antiqua" w:hAnsi="Book Antiqua"/>
          <w:sz w:val="24"/>
          <w:szCs w:val="24"/>
        </w:rPr>
        <w:t xml:space="preserve"> approach to interpretation theory is used to assess what the understanding of cases in the field looks like.</w:t>
      </w:r>
      <w:r w:rsidR="00B31A3A">
        <w:rPr>
          <w:rFonts w:ascii="Book Antiqua" w:hAnsi="Book Antiqua"/>
          <w:sz w:val="24"/>
          <w:szCs w:val="24"/>
        </w:rPr>
        <w:t xml:space="preserve"> </w:t>
      </w:r>
      <w:r w:rsidR="00CC28C4" w:rsidRPr="00CC28C4">
        <w:rPr>
          <w:rFonts w:ascii="Book Antiqua" w:hAnsi="Book Antiqua"/>
          <w:sz w:val="24"/>
          <w:szCs w:val="24"/>
        </w:rPr>
        <w:t>The source of this research data consists of primary data and secondary data</w:t>
      </w:r>
      <w:r w:rsidR="00E253D1">
        <w:rPr>
          <w:rFonts w:ascii="Book Antiqua" w:hAnsi="Book Antiqua"/>
          <w:sz w:val="24"/>
          <w:szCs w:val="24"/>
        </w:rPr>
        <w:t xml:space="preserve"> </w:t>
      </w:r>
      <w:r w:rsidR="00E253D1">
        <w:rPr>
          <w:rFonts w:ascii="Book Antiqua" w:hAnsi="Book Antiqua"/>
          <w:sz w:val="24"/>
          <w:szCs w:val="24"/>
        </w:rPr>
        <w:fldChar w:fldCharType="begin" w:fldLock="1"/>
      </w:r>
      <w:r w:rsidR="00E253D1">
        <w:rPr>
          <w:rFonts w:ascii="Book Antiqua" w:hAnsi="Book Antiqua"/>
          <w:sz w:val="24"/>
          <w:szCs w:val="24"/>
        </w:rPr>
        <w:instrText>ADDIN CSL_CITATION {"citationItems":[{"id":"ITEM-1","itemData":{"ISBN":"9786020895659","author":[{"dropping-particle":"","family":"Dr. Jonaedi Efendi","given":"S.H.I.M.H.","non-dropping-particle":"","parse-names":false,"suffix":""},{"dropping-particle":"","family":"Prof. Dr. Johnny Ibrahim","given":"S.H.S.E.M.M.M.H.","non-dropping-particle":"","parse-names":false,"suffix":""}],"id":"ITEM-1","issued":{"date-parts":[["2018"]]},"publisher":"Prenada Media","title":"Metode Penelitian Hukum: Normatif dan Empiris","type":"book"},"uris":["http://www.mendeley.com/documents/?uuid=7df71314-fbf4-47df-9c07-33f7cfe08d2f"]}],"mendeley":{"formattedCitation":"(Dr. Jonaedi Efendi &amp; Prof. Dr. Johnny Ibrahim, 2018)","plainTextFormattedCitation":"(Dr. Jonaedi Efendi &amp; Prof. Dr. Johnny Ibrahim, 2018)","previouslyFormattedCitation":"(Dr. Jonaedi Efendi &amp; Prof. Dr. Johnny Ibrahim, 2018)"},"properties":{"noteIndex":0},"schema":"https://github.com/citation-style-language/schema/raw/master/csl-citation.json"}</w:instrText>
      </w:r>
      <w:r w:rsidR="00E253D1">
        <w:rPr>
          <w:rFonts w:ascii="Book Antiqua" w:hAnsi="Book Antiqua"/>
          <w:sz w:val="24"/>
          <w:szCs w:val="24"/>
        </w:rPr>
        <w:fldChar w:fldCharType="separate"/>
      </w:r>
      <w:r w:rsidR="00E253D1" w:rsidRPr="00E253D1">
        <w:rPr>
          <w:rFonts w:ascii="Book Antiqua" w:hAnsi="Book Antiqua"/>
          <w:noProof/>
          <w:sz w:val="24"/>
          <w:szCs w:val="24"/>
        </w:rPr>
        <w:t>(Dr. Jonaedi Efendi &amp; Prof. Dr. Johnny Ibrahim, 2018)</w:t>
      </w:r>
      <w:r w:rsidR="00E253D1">
        <w:rPr>
          <w:rFonts w:ascii="Book Antiqua" w:hAnsi="Book Antiqua"/>
          <w:sz w:val="24"/>
          <w:szCs w:val="24"/>
        </w:rPr>
        <w:fldChar w:fldCharType="end"/>
      </w:r>
      <w:r w:rsidR="00CC28C4" w:rsidRPr="00CC28C4">
        <w:rPr>
          <w:rFonts w:ascii="Book Antiqua" w:hAnsi="Book Antiqua"/>
          <w:sz w:val="24"/>
          <w:szCs w:val="24"/>
        </w:rPr>
        <w:t xml:space="preserve">, primary data in </w:t>
      </w:r>
      <w:r w:rsidR="00CC28C4" w:rsidRPr="00FF00FB">
        <w:rPr>
          <w:rFonts w:ascii="Book Antiqua" w:hAnsi="Book Antiqua"/>
          <w:sz w:val="24"/>
          <w:szCs w:val="24"/>
        </w:rPr>
        <w:t>the Constitutional Court Number 97/PUU-XIV/2016 dated November 7, 2017 concerning Population Administration</w:t>
      </w:r>
      <w:r w:rsidR="00CC28C4" w:rsidRPr="00CC28C4">
        <w:rPr>
          <w:rFonts w:ascii="Book Antiqua" w:hAnsi="Book Antiqua"/>
          <w:sz w:val="24"/>
          <w:szCs w:val="24"/>
        </w:rPr>
        <w:t xml:space="preserve">, books, dissertations, theses, journals, regional regulations on </w:t>
      </w:r>
      <w:proofErr w:type="spellStart"/>
      <w:r w:rsidR="00CC28C4" w:rsidRPr="00CC28C4">
        <w:rPr>
          <w:rFonts w:ascii="Book Antiqua" w:hAnsi="Book Antiqua"/>
          <w:sz w:val="24"/>
          <w:szCs w:val="24"/>
        </w:rPr>
        <w:t>miras</w:t>
      </w:r>
      <w:proofErr w:type="spellEnd"/>
      <w:r w:rsidR="00CC28C4" w:rsidRPr="00CC28C4">
        <w:rPr>
          <w:rFonts w:ascii="Book Antiqua" w:hAnsi="Book Antiqua"/>
          <w:sz w:val="24"/>
          <w:szCs w:val="24"/>
        </w:rPr>
        <w:t>, and other scientific works.</w:t>
      </w:r>
    </w:p>
    <w:p w14:paraId="5EFFD1F6" w14:textId="77777777" w:rsidR="00882EA9" w:rsidRPr="00B56D4F" w:rsidRDefault="00882EA9" w:rsidP="00882EA9">
      <w:pPr>
        <w:rPr>
          <w:rFonts w:ascii="Book Antiqua" w:hAnsi="Book Antiqua"/>
          <w:sz w:val="24"/>
          <w:szCs w:val="24"/>
          <w:lang w:val="id-ID"/>
        </w:rPr>
      </w:pPr>
    </w:p>
    <w:p w14:paraId="1726AC4D" w14:textId="77DA7239" w:rsidR="00093C09"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lastRenderedPageBreak/>
        <w:t xml:space="preserve">3. </w:t>
      </w:r>
      <w:r w:rsidR="006D1334" w:rsidRPr="00B56D4F">
        <w:rPr>
          <w:rFonts w:ascii="Book Antiqua" w:hAnsi="Book Antiqua"/>
          <w:b/>
          <w:bCs/>
          <w:sz w:val="24"/>
          <w:szCs w:val="24"/>
          <w:lang w:val="id-ID"/>
        </w:rPr>
        <w:t>Results and Discussion</w:t>
      </w:r>
    </w:p>
    <w:p w14:paraId="07603362" w14:textId="50D665E4" w:rsidR="00FF00FB" w:rsidRPr="00FF00FB" w:rsidRDefault="00FF00FB" w:rsidP="00FF00FB">
      <w:pPr>
        <w:pStyle w:val="ListParagraph"/>
        <w:numPr>
          <w:ilvl w:val="0"/>
          <w:numId w:val="46"/>
        </w:numPr>
        <w:ind w:left="426" w:right="-274"/>
        <w:jc w:val="both"/>
        <w:rPr>
          <w:rFonts w:ascii="Book Antiqua" w:hAnsi="Book Antiqua" w:cstheme="majorBidi"/>
          <w:b/>
          <w:color w:val="000000" w:themeColor="text1"/>
          <w:sz w:val="24"/>
          <w:szCs w:val="24"/>
          <w:lang w:val="id-ID"/>
        </w:rPr>
      </w:pPr>
      <w:r w:rsidRPr="00FF00FB">
        <w:rPr>
          <w:rFonts w:ascii="Book Antiqua" w:hAnsi="Book Antiqua" w:cstheme="majorBidi"/>
          <w:b/>
          <w:color w:val="000000" w:themeColor="text1"/>
          <w:sz w:val="24"/>
          <w:szCs w:val="24"/>
          <w:lang w:val="id-ID"/>
        </w:rPr>
        <w:t>Legal Interpretation of the Constitutional Court</w:t>
      </w:r>
    </w:p>
    <w:p w14:paraId="109FF3F9" w14:textId="3CF7D4FE"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decision of the Constitutional Court Number 97/PUU-XIV/2016 concerning Population Administration is one of the decisions that has received much attention, where this decision examines Law Number 24 of 2013 against Amendments to Law 23 of 2006 concerning the Law on Population Administration. This decision stems from the injustice felt by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in obtaining their rights as citizens</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00E253D1">
        <w:rPr>
          <w:rFonts w:ascii="Book Antiqua" w:hAnsi="Book Antiqua" w:cstheme="majorBidi"/>
          <w:color w:val="000000" w:themeColor="text1"/>
          <w:sz w:val="24"/>
          <w:szCs w:val="24"/>
        </w:rPr>
        <w:instrText>ADDIN CSL_CITATION {"citationItems":[{"id":"ITEM-1","itemData":{"id":"ITEM-1","issued":{"date-parts":[["2016"]]},"publisher":"Mahkamah Konstitusi Republik Indonesia","title":"Putusan Mahkamah Konstitusi Nomor 97/PUU-XIV/2016","type":"book"},"uris":["http://www.mendeley.com/documents/?uuid=06dedd81-7031-40e1-9e94-60e800fafd75"]}],"mendeley":{"formattedCitation":"(&lt;i&gt;Putusan Mahkamah Konstitusi Nomor 97/PUU-XIV/2016&lt;/i&gt;, 2016)","manualFormatting":" Constitutional Court Decision Number 97/PUU-XIV/2016, 2016)","plainTextFormattedCitation":"(Putusan Mahkamah Konstitusi Nomor 97/PUU-XIV/2016, 2016)","previouslyFormattedCitation":"(&lt;i&gt;Putusan Mahkamah Konstitusi Nomor 97/PUU-XIV/2016&lt;/i&gt;, 2016)"},"properties":{"noteIndex":0},"schema":"https://github.com/citation-style-language/schema/raw/master/csl-citation.json"}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lang w:val="id-ID"/>
        </w:rPr>
        <w:t xml:space="preserve"> Constitutional Court Decision Number 97/PUU-XIV/2016, 2016</w:t>
      </w:r>
      <w:r w:rsidRPr="00FF00FB">
        <w:rPr>
          <w:rFonts w:ascii="Book Antiqua" w:hAnsi="Book Antiqua" w:cstheme="majorBidi"/>
          <w:noProof/>
          <w:color w:val="000000" w:themeColor="text1"/>
          <w:sz w:val="24"/>
          <w:szCs w:val="24"/>
        </w:rPr>
        <w:t>)</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which is related to the emptying of the religious column on family cards and identity cards because the beliefs they hold are not 6 (six) religions recognized by the state. On the basis of the principle of equality of citizens, the judges of the Constitutional Court granted the request for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to write down their beliefs in the religious column of the Family Card and Identity Card.</w:t>
      </w:r>
    </w:p>
    <w:p w14:paraId="635F41DD"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Based on the results of the Constitutional Court's decision, there was a negative response related to the Legal Interpretation of the Constitutional Court which equated religion and belief</w:t>
      </w:r>
      <w:r w:rsidRPr="00FF00FB">
        <w:rPr>
          <w:rFonts w:ascii="Book Antiqua" w:hAnsi="Book Antiqua" w:cstheme="majorBidi"/>
          <w:color w:val="000000" w:themeColor="text1"/>
          <w:sz w:val="24"/>
          <w:szCs w:val="24"/>
        </w:rPr>
        <w:t>s</w:t>
      </w:r>
      <w:r w:rsidRPr="00FF00FB">
        <w:rPr>
          <w:rFonts w:ascii="Book Antiqua" w:hAnsi="Book Antiqua" w:cstheme="majorBidi"/>
          <w:color w:val="000000" w:themeColor="text1"/>
          <w:sz w:val="24"/>
          <w:szCs w:val="24"/>
          <w:lang w:val="id-ID"/>
        </w:rPr>
        <w:t xml:space="preserve">. In terms of disagreement with the decision, the Secretary of the DIY Indonesian Ulema Council explained that, </w:t>
      </w:r>
      <w:r w:rsidRPr="00FF00FB">
        <w:rPr>
          <w:rFonts w:ascii="Book Antiqua" w:hAnsi="Book Antiqua" w:cstheme="majorBidi"/>
          <w:i/>
          <w:iCs/>
          <w:color w:val="000000" w:themeColor="text1"/>
          <w:sz w:val="24"/>
          <w:szCs w:val="24"/>
          <w:lang w:val="id-ID"/>
        </w:rPr>
        <w:t xml:space="preserve">basically, believers and religion cannot be equated because to be equated and can be called religion there are several criteria that must be met, namely there is belief in one God, there are prophets, scriptures, and a system for its adherents. These criteria do not exist in the </w:t>
      </w:r>
      <w:r w:rsidRPr="00FF00FB">
        <w:rPr>
          <w:rFonts w:ascii="Book Antiqua" w:hAnsi="Book Antiqua" w:cstheme="majorBidi"/>
          <w:i/>
          <w:iCs/>
          <w:color w:val="000000" w:themeColor="text1"/>
          <w:sz w:val="24"/>
          <w:szCs w:val="24"/>
        </w:rPr>
        <w:t>Believers</w:t>
      </w:r>
      <w:r w:rsidRPr="00FF00FB">
        <w:rPr>
          <w:rFonts w:ascii="Book Antiqua" w:hAnsi="Book Antiqua" w:cstheme="majorBidi"/>
          <w:i/>
          <w:iCs/>
          <w:color w:val="000000" w:themeColor="text1"/>
          <w:sz w:val="24"/>
          <w:szCs w:val="24"/>
          <w:lang w:val="id-ID"/>
        </w:rPr>
        <w:t xml:space="preserve">, especially they do not have prophets and scriptures. So they cannot be equated as religion and cannot be included in the religion column found on the </w:t>
      </w:r>
      <w:r w:rsidRPr="00FF00FB">
        <w:rPr>
          <w:rFonts w:ascii="Book Antiqua" w:hAnsi="Book Antiqua" w:cstheme="majorBidi"/>
          <w:i/>
          <w:iCs/>
          <w:color w:val="000000" w:themeColor="text1"/>
          <w:sz w:val="24"/>
          <w:szCs w:val="24"/>
        </w:rPr>
        <w:t>Family card</w:t>
      </w:r>
      <w:r w:rsidRPr="00FF00FB">
        <w:rPr>
          <w:rFonts w:ascii="Book Antiqua" w:hAnsi="Book Antiqua" w:cstheme="majorBidi"/>
          <w:i/>
          <w:iCs/>
          <w:color w:val="000000" w:themeColor="text1"/>
          <w:sz w:val="24"/>
          <w:szCs w:val="24"/>
          <w:lang w:val="id-ID"/>
        </w:rPr>
        <w:t xml:space="preserve"> and </w:t>
      </w:r>
      <w:r w:rsidRPr="00FF00FB">
        <w:rPr>
          <w:rFonts w:ascii="Book Antiqua" w:hAnsi="Book Antiqua" w:cstheme="majorBidi"/>
          <w:i/>
          <w:iCs/>
          <w:color w:val="000000" w:themeColor="text1"/>
          <w:sz w:val="24"/>
          <w:szCs w:val="24"/>
        </w:rPr>
        <w:t>Identity card</w:t>
      </w:r>
      <w:r w:rsidRPr="00FF00FB">
        <w:rPr>
          <w:rFonts w:ascii="Book Antiqua" w:hAnsi="Book Antiqua" w:cstheme="majorBidi"/>
          <w:i/>
          <w:iCs/>
          <w:color w:val="000000" w:themeColor="text1"/>
          <w:sz w:val="24"/>
          <w:szCs w:val="24"/>
          <w:lang w:val="id-ID"/>
        </w:rPr>
        <w:t>.</w:t>
      </w:r>
    </w:p>
    <w:p w14:paraId="586EB425"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Legal considerations by the judges of the Constitutional Court in case Number 97/PUU-XIV/2016 concerning Population Administration cannot be blamed because basically in its legal considerations the Constitutional Court issues a decision that always refers to aspects of legal interpretation, both philosophical, textual (juridical), and sociological</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{"citationItems":[{"id":"ITEM-1","itemData":{"author":[{"dropping-particle":"","family":"Albert H Y Chen","given":"","non-dropping-particle":"","parse-names":false,"suffix":""}],"id":"ITEM-1","issued":{"date-parts":[["2000"]]},"publisher":"Hong Kong Journal Ltd","publisher-place":"Hong Kong","title":"The Interpretation of the Basic Law-Common Law and Mainland Chinese Prespecties","type":"book"},"uris":["http://www.mendeley.com/documents/?uuid=e1cf4f0a-58e7-455a-8da8-eaa060e84e7a"]}],"mendeley":{"formattedCitation":"(Albert H Y Chen, 2000)","plainTextFormattedCitation":"(Albert H Y Chen, 2000)","previouslyFormattedCitation":"(Albert H Y Chen, 2000)"},"properties":{"noteIndex":0},"schema":"https://github.com/citation-style-language/schema/raw/master/csl-citation.json"}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(Albert H Y Chen, 2000)</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and uphold the rights of equality and non-discrimination </w:t>
      </w:r>
      <w:r w:rsidRPr="00FF00FB">
        <w:rPr>
          <w:rFonts w:ascii="Book Antiqua" w:hAnsi="Book Antiqua" w:cstheme="majorBidi"/>
          <w:color w:val="000000" w:themeColor="text1"/>
          <w:sz w:val="24"/>
          <w:szCs w:val="24"/>
          <w:lang w:val="id-ID"/>
        </w:rPr>
        <w:fldChar w:fldCharType="begin" w:fldLock="1"/>
      </w:r>
      <w:r w:rsidRPr="00FF00FB">
        <w:rPr>
          <w:rFonts w:ascii="Book Antiqua" w:hAnsi="Book Antiqua" w:cstheme="majorBidi"/>
          <w:color w:val="000000" w:themeColor="text1"/>
          <w:sz w:val="24"/>
          <w:szCs w:val="24"/>
          <w:lang w:val="id-ID"/>
        </w:rPr>
        <w:instrText>ADDIN CSL_CITATION {"citationItems":[{"id":"ITEM-1","itemData":{"author":[{"dropping-particle":"","family":"Amad Imam Mawardi","given":"","non-dropping-particle":"","parse-names":false,"suffix":""}],"id":"ITEM-1","issued":{"date-parts":[["2012"]]},"publisher":"Lkis","publisher-place":"Yogyakarta","title":"Fiqih Minoritas Fiqh al-Aqliyat dan Evolusi Maqasid al- Syari’ah dari Konsep ke Pendekatan, cet. Ke-1","type":"book"},"uris":["http://www.mendeley.com/documents/?uuid=64aaae0b-bc09-4092-b187-898657bb6f18"]}],"mendeley":{"formattedCitation":"(Amad Imam Mawardi, 2012)","plainTextFormattedCitation":"(Amad Imam Mawardi, 2012)","previouslyFormattedCitation":"(Amad Imam Mawardi, 2012)"},"properties":{"noteIndex":0},"schema":"https://github.com/citation-style-language/schema/raw/master/csl-citation.json"}</w:instrText>
      </w:r>
      <w:r w:rsidRPr="00FF00FB">
        <w:rPr>
          <w:rFonts w:ascii="Book Antiqua" w:hAnsi="Book Antiqua" w:cstheme="majorBidi"/>
          <w:color w:val="000000" w:themeColor="text1"/>
          <w:sz w:val="24"/>
          <w:szCs w:val="24"/>
          <w:lang w:val="id-ID"/>
        </w:rPr>
        <w:fldChar w:fldCharType="separate"/>
      </w:r>
      <w:r w:rsidRPr="00FF00FB">
        <w:rPr>
          <w:rFonts w:ascii="Book Antiqua" w:hAnsi="Book Antiqua" w:cstheme="majorBidi"/>
          <w:noProof/>
          <w:color w:val="000000" w:themeColor="text1"/>
          <w:sz w:val="24"/>
          <w:szCs w:val="24"/>
          <w:lang w:val="id-ID"/>
        </w:rPr>
        <w:t>(Amad Imam Mawardi, 2012)</w:t>
      </w:r>
      <w:r w:rsidRPr="00FF00FB">
        <w:rPr>
          <w:rFonts w:ascii="Book Antiqua" w:hAnsi="Book Antiqua" w:cstheme="majorBidi"/>
          <w:color w:val="000000" w:themeColor="text1"/>
          <w:sz w:val="24"/>
          <w:szCs w:val="24"/>
          <w:lang w:val="id-ID"/>
        </w:rPr>
        <w:fldChar w:fldCharType="end"/>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to the position of citizens who in this context are believers.</w:t>
      </w:r>
    </w:p>
    <w:p w14:paraId="2A01C8C2"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consideration of the judges of the Constitutional Court placed that the right to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w:t>
      </w:r>
      <w:proofErr w:type="spellStart"/>
      <w:r w:rsidRPr="00FF00FB">
        <w:rPr>
          <w:rFonts w:ascii="Book Antiqua" w:hAnsi="Book Antiqua" w:cstheme="majorBidi"/>
          <w:color w:val="000000" w:themeColor="text1"/>
          <w:sz w:val="24"/>
          <w:szCs w:val="24"/>
        </w:rPr>
        <w:t>rs</w:t>
      </w:r>
      <w:proofErr w:type="spellEnd"/>
      <w:r w:rsidRPr="00FF00FB">
        <w:rPr>
          <w:rFonts w:ascii="Book Antiqua" w:hAnsi="Book Antiqua" w:cstheme="majorBidi"/>
          <w:color w:val="000000" w:themeColor="text1"/>
          <w:sz w:val="24"/>
          <w:szCs w:val="24"/>
          <w:lang w:val="id-ID"/>
        </w:rPr>
        <w:t xml:space="preserve"> in is a constitutional right of citizens, not a gift from the state, in which case the Constitutional Court is guided by the idea of a democratic state based on law or a democratic legal state, in accordance with the 1945 Constitution of the Republic of Indonesia.</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In his explanation, the state exists or was formed precisely to protect the entire Indonesian nation and the entire homeland of Indonesia, so the independence of the Indonesian nationality was formulated in an Indonesian Constitution".</w:t>
      </w:r>
      <w:r w:rsidRPr="00FF00FB">
        <w:rPr>
          <w:rFonts w:ascii="Book Antiqua" w:hAnsi="Book Antiqua" w:cstheme="majorBidi"/>
          <w:color w:val="000000" w:themeColor="text1"/>
          <w:sz w:val="24"/>
          <w:szCs w:val="24"/>
        </w:rPr>
        <w:t xml:space="preserve"> </w:t>
      </w:r>
    </w:p>
    <w:p w14:paraId="217F81BC"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lastRenderedPageBreak/>
        <w:t xml:space="preserve">Furthermore, the preamble to the Constitution of the Republic of Indonesia contained in the fourth paragraph also not only provides a mandate to protect body and soul as Indonesian citizens but also must provide a guarantee in the fulfillment of the rights of its citizens. The granting of the right to guarantees for citizens in the fourth paragraph of the Constitution of the Republic of Indonesia is re-explained and emphasized in Article 28 I paragraph (4) of the 1945 Constitution which explains, "The protection, promotion, enforcement and fulfillment of human rights are the responsibility of the state, especially the government." . The entire elaboration of the meaning contained in the fourth paragraph of the opening of the Constitution of the Republic of Indonesia and Article 28 I paragraph (4) of the 1945 Constitution is a reference for the interpretation of philosophical law by the Constitutional Court on the position of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which is a basic right of a citizen that needs to be guaranteed and protected by the state.</w:t>
      </w:r>
    </w:p>
    <w:p w14:paraId="33A0D92C"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principle of a democratic rule of law also explains that the role of the State is obliged to protect which also means respecting and guaranteeing the fulfillment of rights as well as guaranteeing the right of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to adhere to a religion/belief in accordance with their beliefs. The right to embrace religion is part of human rights in the civil and political rights group where this human right is derived from the conception of natural rights</w:t>
      </w:r>
      <w:r w:rsidRPr="00FF00FB">
        <w:rPr>
          <w:rFonts w:ascii="Book Antiqua" w:hAnsi="Book Antiqua" w:cstheme="majorBidi"/>
          <w:i/>
          <w:color w:val="000000" w:themeColor="text1"/>
          <w:sz w:val="24"/>
          <w:szCs w:val="24"/>
        </w:rPr>
        <w:t xml:space="preserve"> </w:t>
      </w:r>
      <w:r w:rsidRPr="00FF00FB">
        <w:rPr>
          <w:rFonts w:ascii="Book Antiqua" w:hAnsi="Book Antiqua" w:cstheme="majorBidi"/>
          <w:i/>
          <w:color w:val="000000" w:themeColor="text1"/>
          <w:sz w:val="24"/>
          <w:szCs w:val="24"/>
        </w:rPr>
        <w:fldChar w:fldCharType="begin" w:fldLock="1"/>
      </w:r>
      <w:r w:rsidRPr="00FF00FB">
        <w:rPr>
          <w:rFonts w:ascii="Book Antiqua" w:hAnsi="Book Antiqua" w:cstheme="majorBidi"/>
          <w:i/>
          <w:color w:val="000000" w:themeColor="text1"/>
          <w:sz w:val="24"/>
          <w:szCs w:val="24"/>
        </w:rPr>
        <w:instrText>ADDIN CSL_CITATION {"citationItems":[{"id":"ITEM-1","itemData":{"author":[{"dropping-particle":"","family":"Muhammad Firdaus","given":"dkk","non-dropping-particle":"","parse-names":false,"suffix":""}],"id":"ITEM-1","issued":{"date-parts":[["2007"]]},"publisher":"Komnas HAM","publisher-place":"Jakarta","title":"Pembangunan Berbasis Hak Asasi Manusia : Sebuah Panduan","type":"book"},"uris":["http://www.mendeley.com/documents/?uuid=cc89e31b-1484-4919-94b3-bbcffe7e4e87"]}],"mendeley":{"formattedCitation":"(Muhammad Firdaus, 2007)","plainTextFormattedCitation":"(Muhammad Firdaus, 2007)","previouslyFormattedCitation":"(Muhammad Firdaus, 2007)"},"properties":{"noteIndex":0},"schema":"https://github.com/citation-style-language/schema/raw/master/csl-citation.json"}</w:instrText>
      </w:r>
      <w:r w:rsidRPr="00FF00FB">
        <w:rPr>
          <w:rFonts w:ascii="Book Antiqua" w:hAnsi="Book Antiqua" w:cstheme="majorBidi"/>
          <w:i/>
          <w:color w:val="000000" w:themeColor="text1"/>
          <w:sz w:val="24"/>
          <w:szCs w:val="24"/>
        </w:rPr>
        <w:fldChar w:fldCharType="separate"/>
      </w:r>
      <w:r w:rsidRPr="00FF00FB">
        <w:rPr>
          <w:rFonts w:ascii="Book Antiqua" w:hAnsi="Book Antiqua" w:cstheme="majorBidi"/>
          <w:noProof/>
          <w:color w:val="000000" w:themeColor="text1"/>
          <w:sz w:val="24"/>
          <w:szCs w:val="24"/>
        </w:rPr>
        <w:t>(Muhammad Firdaus, 2007)</w:t>
      </w:r>
      <w:r w:rsidRPr="00FF00FB">
        <w:rPr>
          <w:rFonts w:ascii="Book Antiqua" w:hAnsi="Book Antiqua" w:cstheme="majorBidi"/>
          <w:i/>
          <w:color w:val="000000" w:themeColor="text1"/>
          <w:sz w:val="24"/>
          <w:szCs w:val="24"/>
        </w:rPr>
        <w:fldChar w:fldCharType="end"/>
      </w:r>
      <w:r w:rsidRPr="00FF00FB">
        <w:rPr>
          <w:rFonts w:ascii="Book Antiqua" w:hAnsi="Book Antiqua" w:cstheme="majorBidi"/>
          <w:i/>
          <w:color w:val="000000" w:themeColor="text1"/>
          <w:sz w:val="24"/>
          <w:szCs w:val="24"/>
          <w:lang w:val="id-ID"/>
        </w:rPr>
        <w:t>.</w:t>
      </w:r>
      <w:r w:rsidRPr="00FF00FB">
        <w:rPr>
          <w:rFonts w:ascii="Book Antiqua" w:hAnsi="Book Antiqua" w:cstheme="majorBidi"/>
          <w:color w:val="000000" w:themeColor="text1"/>
          <w:sz w:val="24"/>
          <w:szCs w:val="24"/>
          <w:lang w:val="id-ID"/>
        </w:rPr>
        <w:t xml:space="preserve"> In the sense that natural rights are rights that are inherent in every person because of their nature as human beings.</w:t>
      </w:r>
    </w:p>
    <w:p w14:paraId="3CB83896"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Constitutionally, freedom of religion or belief has also been guaranteed in Article 28E paragraphs (1) and (2), and Article 29 paragraph (2) of the 1945 Constitution of the Republic of Indonesia. The provisions in these articles guarantee freedom to every citizen to embrace religion and worship</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according to their respective beliefs, accompanied by the state's obligation to protect every citizen.</w:t>
      </w:r>
    </w:p>
    <w:p w14:paraId="025FB6E6"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lang w:val="id-ID"/>
        </w:rPr>
        <w:t xml:space="preserve">Juridically the judge's considerations regarding the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are guided by Article 51 paragraph (1) of the Constitutional Court Law which emphasizes the elements of the constitutional rights and/or authorities of the applicant granted by the 1945 Constitution of the Republic of Indonesia</w:t>
      </w:r>
      <w:r w:rsidRPr="00FF00FB">
        <w:rPr>
          <w:rFonts w:ascii="Book Antiqua" w:hAnsi="Book Antiqua" w:cstheme="majorBidi"/>
          <w:color w:val="000000" w:themeColor="text1"/>
          <w:sz w:val="24"/>
          <w:szCs w:val="24"/>
        </w:rPr>
        <w:t xml:space="preserve">, The constitutional rights and/or authorities of the applicant are harmed by the enactment of the law for which judicial review is requested, the constitutional loss must be specific and actual, at least potentially, which according to reasonable reasoning can be ascertained to occur, </w:t>
      </w:r>
      <w:r w:rsidRPr="00FF00FB">
        <w:rPr>
          <w:rFonts w:ascii="Book Antiqua" w:hAnsi="Book Antiqua" w:cstheme="majorBidi"/>
          <w:color w:val="000000" w:themeColor="text1"/>
          <w:sz w:val="24"/>
          <w:szCs w:val="24"/>
          <w:lang w:val="id-ID"/>
        </w:rPr>
        <w:t>there is a causal relationship</w:t>
      </w:r>
      <w:r w:rsidRPr="00FF00FB">
        <w:rPr>
          <w:rFonts w:ascii="Book Antiqua" w:hAnsi="Book Antiqua" w:cstheme="majorBidi"/>
          <w:color w:val="000000" w:themeColor="text1"/>
          <w:sz w:val="24"/>
          <w:szCs w:val="24"/>
        </w:rPr>
        <w:t xml:space="preserve"> (causal </w:t>
      </w:r>
      <w:proofErr w:type="spellStart"/>
      <w:r w:rsidRPr="00FF00FB">
        <w:rPr>
          <w:rFonts w:ascii="Book Antiqua" w:hAnsi="Book Antiqua" w:cstheme="majorBidi"/>
          <w:color w:val="000000" w:themeColor="text1"/>
          <w:sz w:val="24"/>
          <w:szCs w:val="24"/>
        </w:rPr>
        <w:t>verband</w:t>
      </w:r>
      <w:proofErr w:type="spellEnd"/>
      <w:r w:rsidRPr="00FF00FB">
        <w:rPr>
          <w:rFonts w:ascii="Book Antiqua" w:hAnsi="Book Antiqua" w:cstheme="majorBidi"/>
          <w:color w:val="000000" w:themeColor="text1"/>
          <w:sz w:val="24"/>
          <w:szCs w:val="24"/>
        </w:rPr>
        <w:t xml:space="preserve"> ) between the loss in question and the enactment of the law requested for review; the granting of the petition has the effect that the constitutional loss as argued will not occur again.</w:t>
      </w:r>
    </w:p>
    <w:p w14:paraId="2CF85851"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Based on the juridical elements described previously, the losses suffered by believers are the result of the presence of Article 61 paragraph (1) and paragraph (2) juncto, and Article 64 paragraph (1) and paragraph (5) 64 </w:t>
      </w:r>
      <w:r w:rsidRPr="00FF00FB">
        <w:rPr>
          <w:rFonts w:ascii="Book Antiqua" w:hAnsi="Book Antiqua" w:cstheme="majorBidi"/>
          <w:color w:val="000000" w:themeColor="text1"/>
          <w:sz w:val="24"/>
          <w:szCs w:val="24"/>
          <w:lang w:val="id-ID"/>
        </w:rPr>
        <w:lastRenderedPageBreak/>
        <w:t xml:space="preserve">paragraph (1) juncto paragraph (5 ) The Population Administration Law which orders adherents of a belief or adherents of a religion that has not been recognized to leave the religion column on the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and electronic ID cards has harmed Petitioner II and followers of the Parmalim faith. Because by not filling in the belief in the religion column, Electronic Identity Card. Judges of the Constitutional Court place the causal clause in the law as the sociological basis for their legal considerations.</w:t>
      </w:r>
    </w:p>
    <w:p w14:paraId="4E60EF33"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implication of the contents of several articles of the Population Administration Law which regulates the vacancy of the religious column for believers in the </w:t>
      </w:r>
      <w:r w:rsidRPr="00FF00FB">
        <w:rPr>
          <w:rFonts w:ascii="Book Antiqua" w:hAnsi="Book Antiqua" w:cstheme="majorBidi"/>
          <w:color w:val="000000" w:themeColor="text1"/>
          <w:sz w:val="24"/>
          <w:szCs w:val="24"/>
        </w:rPr>
        <w:t>ID card</w:t>
      </w:r>
      <w:r w:rsidRPr="00FF00FB">
        <w:rPr>
          <w:rFonts w:ascii="Book Antiqua" w:hAnsi="Book Antiqua" w:cstheme="majorBidi"/>
          <w:color w:val="000000" w:themeColor="text1"/>
          <w:sz w:val="24"/>
          <w:szCs w:val="24"/>
          <w:lang w:val="id-ID"/>
        </w:rPr>
        <w:t xml:space="preserve"> is a violation of the fulfillment of population rights that should be enjoyed by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Even with the absence of religious beliefs in the electronic ID card of Petitioner II, there has been discrimination experienced by the applicant in various forms, such as: difficulty in accessing work, unable to access the right to social security, difficulty in accessing residence documents such as electronic ID card, Family Card, Marriage certificates, and birth certificates and also received a misguided stigma from the general public.</w:t>
      </w:r>
    </w:p>
    <w:p w14:paraId="77C544DA"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Furthermore, the article of the a quo law has also violated legal certainty, this is because in the article of the a quo law it is stated that the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contains elements of religious information in it, as well as the electronic ID card which contains elements of population data, including the religion of the electronic ID card holder. Meanwhile, specifically for adherents of belief/believers or for adherents of a religion that has not been recognized as a religion based on the provisions of the legislation, the religion column is left blank</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{"citationItems":[{"id":"ITEM-1","itemData":{"author":[{"dropping-particle":"","family":"Muwaffiq Jufri","given":"","non-dropping-particle":"","parse-names":false,"suffix":""}],"container-title":"Jurnal jurnal komisiyudisial","id":"ITEM-1","issued":{"date-parts":[["2020"]]},"title":"Potensi Penyetaraan Agama Dengan Aliran Kepercayaan Di Indonesia Kajian Putusan Mahkamah Konstitusi Nomor 97/PUU-XIV/2016","type":"article-journal"},"uris":["http://www.mendeley.com/documents/?uuid=d9d4fa23-c724-4ca2-b041-60df0904b445"]}],"mendeley":{"formattedCitation":"(Muwaffiq Jufri, 2020)","plainTextFormattedCitation":"(Muwaffiq Jufri, 2020)","previouslyFormattedCitation":"(Muwaffiq Jufri, 2020)"},"properties":{"noteIndex":0},"schema":"https://github.com/citation-style-language/schema/raw/master/csl-citation.json"}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(Muwaffiq Jufri, 2020)</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So that the Articles of the a quo law create conflict with each other. This shows ambiguity and violates the basic rights of citizens in general. As a whole, it can be concluded that the Articles of the law a quo contradict the legal principle of equal treatment before the law. This is because the articles of the a quo law show that there is no equality/equality in law for every citizen and show different treatment between citizens, namely distinguishing between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and electronic ID cards between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and citizens in general by leaving blanks</w:t>
      </w:r>
      <w:r w:rsidRPr="00FF00FB">
        <w:rPr>
          <w:rFonts w:ascii="Book Antiqua" w:hAnsi="Book Antiqua" w:cstheme="majorBidi"/>
          <w:color w:val="000000" w:themeColor="text1"/>
          <w:sz w:val="24"/>
          <w:szCs w:val="24"/>
        </w:rPr>
        <w:t xml:space="preserve"> at </w:t>
      </w:r>
      <w:r w:rsidRPr="00FF00FB">
        <w:rPr>
          <w:rFonts w:ascii="Book Antiqua" w:hAnsi="Book Antiqua" w:cstheme="majorBidi"/>
          <w:color w:val="000000" w:themeColor="text1"/>
          <w:sz w:val="24"/>
          <w:szCs w:val="24"/>
          <w:lang w:val="id-ID"/>
        </w:rPr>
        <w:t>religion column for believers.</w:t>
      </w:r>
    </w:p>
    <w:p w14:paraId="65EF4A6A" w14:textId="77777777" w:rsidR="00FF00FB" w:rsidRPr="00FF00FB" w:rsidRDefault="00FF00FB" w:rsidP="00FF00FB">
      <w:pPr>
        <w:ind w:left="426" w:right="-274" w:firstLine="720"/>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lang w:val="id-ID"/>
        </w:rPr>
        <w:t>Whereas Article 58 paragraph (2) letter h of the Population Administration Law has stated that "religion/belief" is part of individual data that must be recorded in the population database.</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 xml:space="preserve">However, the data is only stored in the individual data system qualitatively and quantitatively in the population aggregated data, but is not explicitly included in the data elements in the physical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document and electronic ID card, </w:t>
      </w:r>
      <w:r w:rsidRPr="00FF00FB">
        <w:rPr>
          <w:rFonts w:ascii="Book Antiqua" w:hAnsi="Book Antiqua" w:cstheme="majorBidi"/>
          <w:color w:val="000000" w:themeColor="text1"/>
          <w:sz w:val="24"/>
          <w:szCs w:val="24"/>
        </w:rPr>
        <w:t>so that the existence of the a quo Articles that order the vassal of believers of belief are inconsistent and in accordance with Article 58 paragraph (2) letter f of the Population Administration Law and ultimately creates legal uncertainty and inconsistency in the arrangements for filling in the religion/belief column.</w:t>
      </w:r>
    </w:p>
    <w:p w14:paraId="2806C204" w14:textId="77777777" w:rsidR="00FF00FB" w:rsidRPr="00FF00FB" w:rsidRDefault="00FF00FB" w:rsidP="00FF00FB">
      <w:pPr>
        <w:ind w:left="426" w:right="-270"/>
        <w:contextualSpacing/>
        <w:jc w:val="both"/>
        <w:rPr>
          <w:rFonts w:ascii="Book Antiqua" w:hAnsi="Book Antiqua" w:cstheme="majorBidi"/>
          <w:b/>
          <w:color w:val="000000" w:themeColor="text1"/>
          <w:sz w:val="24"/>
          <w:szCs w:val="24"/>
        </w:rPr>
      </w:pPr>
      <w:r w:rsidRPr="00FF00FB">
        <w:rPr>
          <w:rFonts w:ascii="Book Antiqua" w:hAnsi="Book Antiqua" w:cstheme="majorBidi"/>
          <w:b/>
          <w:color w:val="000000" w:themeColor="text1"/>
          <w:sz w:val="24"/>
          <w:szCs w:val="24"/>
        </w:rPr>
        <w:t>Human Rights in Decisions</w:t>
      </w:r>
    </w:p>
    <w:p w14:paraId="264DD072"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lastRenderedPageBreak/>
        <w:t xml:space="preserve">The concept of human rights in the decision number 97/PUU-XIV/2016 can be seen from the rights granted by the judges of the Constitutional Court in their legal considerations, namely constitutional rights which are basic rights for the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the sense that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are Indonesian citizens who have the authority fully protected by the state as stated in the fourth paragraph of the Law on the Unitary State of the Republic of Indonesia.</w:t>
      </w:r>
    </w:p>
    <w:p w14:paraId="124279B6"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Equalization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God Almighty with other religious beliefs is the act of judges who uphold the principles of equality and non-discrimination, and uphold the principles of tolerance in society and religion. This is in line with the response of Buya Syafi'i who said that </w:t>
      </w:r>
      <w:r w:rsidRPr="00FF00FB">
        <w:rPr>
          <w:rFonts w:ascii="Book Antiqua" w:hAnsi="Book Antiqua" w:cstheme="majorBidi"/>
          <w:i/>
          <w:iCs/>
          <w:color w:val="000000" w:themeColor="text1"/>
          <w:sz w:val="24"/>
          <w:szCs w:val="24"/>
          <w:lang w:val="id-ID"/>
        </w:rPr>
        <w:t>"as an adult Muslim, I understand very well that his teachings emphasize the value of equality and tolerance for others"</w:t>
      </w:r>
      <w:r w:rsidRPr="00FF00FB">
        <w:rPr>
          <w:rFonts w:ascii="Book Antiqua" w:hAnsi="Book Antiqua" w:cstheme="majorBidi"/>
          <w:color w:val="000000" w:themeColor="text1"/>
          <w:sz w:val="24"/>
          <w:szCs w:val="24"/>
          <w:lang w:val="id-ID"/>
        </w:rPr>
        <w:t>.</w:t>
      </w:r>
    </w:p>
    <w:p w14:paraId="1B43FBDC"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overall review of judges and the concept of human rights in the decision of the Constitutional Court number 97/PUU-XIV/2016 concerning Population Administration has covered the rights and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the public </w:t>
      </w:r>
      <w:r w:rsidRPr="00FF00FB">
        <w:rPr>
          <w:rFonts w:ascii="Book Antiqua" w:hAnsi="Book Antiqua" w:cstheme="majorBidi"/>
          <w:color w:val="000000" w:themeColor="text1"/>
          <w:sz w:val="24"/>
          <w:szCs w:val="24"/>
        </w:rPr>
        <w:t>view</w:t>
      </w:r>
      <w:r w:rsidRPr="00FF00FB">
        <w:rPr>
          <w:rFonts w:ascii="Book Antiqua" w:hAnsi="Book Antiqua" w:cstheme="majorBidi"/>
          <w:color w:val="000000" w:themeColor="text1"/>
          <w:sz w:val="24"/>
          <w:szCs w:val="24"/>
          <w:lang w:val="id-ID"/>
        </w:rPr>
        <w:t>, especially civil rights to get equal treatment in the administrative and bureaucratic fields. The impact of the presence of this decision has been seen by the existence of several policies by the government such as circulars issued by the Department of Population and Civil Registration in terms of writing Believers of belief on Family Cards.</w:t>
      </w:r>
    </w:p>
    <w:p w14:paraId="1A21D801"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second policy is the printing of ID cards which has started to be carried out on the week of August 12 2018. Then the existence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has also begun to be seen with the many studies, workshops of public institutions in reviewing and knowing "Believers". Kuswijoyo explained, "After the decision of the Constitutional Court, our existence and position in the eyes of the public has been accepted, especially in administrative matters, besides that, several institutions have come asking to be seminar speakers, and individuals or who have come to research. .</w:t>
      </w:r>
    </w:p>
    <w:p w14:paraId="1F6850DE"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As far as the data and research that the authors get, there is no negative trend from the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Yogyakarta. Because for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their beliefs are individual self-actualization of servants to their God to get peace of mind and body, so whether they are recognized or not by their country, they still uphold their beliefs.</w:t>
      </w:r>
    </w:p>
    <w:p w14:paraId="7FF31874" w14:textId="77777777" w:rsidR="00FF00FB" w:rsidRPr="00FF00FB" w:rsidRDefault="00FF00FB" w:rsidP="00FF00FB">
      <w:pPr>
        <w:ind w:left="426" w:right="-274" w:firstLine="720"/>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Responding to the absence of a tendency to destroy and demands by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to be equalized with the other six religions is a justification for legal considerations by the judges of the Constitutional Court, which actually accepts the Constitutional Court is to emphasize that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are the same as adherents of other religions and have the right to be protected, recognized and made equal</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in all aspects of bureaucratic and administrative affairs.</w:t>
      </w:r>
    </w:p>
    <w:p w14:paraId="2BFE291B" w14:textId="77777777" w:rsidR="00FF00FB" w:rsidRPr="00FF00FB" w:rsidRDefault="00FF00FB" w:rsidP="00FF00FB">
      <w:pPr>
        <w:autoSpaceDE w:val="0"/>
        <w:autoSpaceDN w:val="0"/>
        <w:adjustRightInd w:val="0"/>
        <w:ind w:left="426" w:right="-274"/>
        <w:jc w:val="both"/>
        <w:rPr>
          <w:rFonts w:ascii="Book Antiqua" w:hAnsi="Book Antiqua" w:cstheme="majorBidi"/>
          <w:b/>
          <w:bCs/>
          <w:color w:val="000000" w:themeColor="text1"/>
          <w:sz w:val="24"/>
          <w:szCs w:val="24"/>
          <w:lang w:val="id-ID"/>
        </w:rPr>
      </w:pPr>
      <w:r w:rsidRPr="00FF00FB">
        <w:rPr>
          <w:rFonts w:ascii="Book Antiqua" w:hAnsi="Book Antiqua" w:cstheme="majorBidi"/>
          <w:b/>
          <w:bCs/>
          <w:i/>
          <w:iCs/>
          <w:color w:val="000000" w:themeColor="text1"/>
          <w:sz w:val="24"/>
          <w:szCs w:val="24"/>
          <w:lang w:val="id-ID"/>
        </w:rPr>
        <w:t>Maqā</w:t>
      </w:r>
      <w:r w:rsidRPr="00FF00FB">
        <w:rPr>
          <w:rFonts w:ascii="Cambria" w:hAnsi="Cambria" w:cs="Cambria"/>
          <w:b/>
          <w:bCs/>
          <w:i/>
          <w:iCs/>
          <w:color w:val="000000" w:themeColor="text1"/>
          <w:sz w:val="24"/>
          <w:szCs w:val="24"/>
          <w:lang w:val="id-ID"/>
        </w:rPr>
        <w:t>ṣ</w:t>
      </w:r>
      <w:r w:rsidRPr="00FF00FB">
        <w:rPr>
          <w:rFonts w:ascii="Book Antiqua" w:hAnsi="Book Antiqua" w:cstheme="majorBidi"/>
          <w:b/>
          <w:bCs/>
          <w:i/>
          <w:iCs/>
          <w:color w:val="000000" w:themeColor="text1"/>
          <w:sz w:val="24"/>
          <w:szCs w:val="24"/>
          <w:lang w:val="id-ID"/>
        </w:rPr>
        <w:t>id as</w:t>
      </w:r>
      <w:r w:rsidRPr="00FF00FB">
        <w:rPr>
          <w:rFonts w:ascii="Book Antiqua" w:hAnsi="Book Antiqua" w:cstheme="majorBidi"/>
          <w:b/>
          <w:bCs/>
          <w:i/>
          <w:iCs/>
          <w:color w:val="000000" w:themeColor="text1"/>
          <w:sz w:val="24"/>
          <w:szCs w:val="24"/>
        </w:rPr>
        <w:t>y</w:t>
      </w:r>
      <w:r w:rsidRPr="00FF00FB">
        <w:rPr>
          <w:rFonts w:ascii="Book Antiqua" w:hAnsi="Book Antiqua" w:cstheme="majorBidi"/>
          <w:b/>
          <w:bCs/>
          <w:i/>
          <w:iCs/>
          <w:color w:val="000000" w:themeColor="text1"/>
          <w:sz w:val="24"/>
          <w:szCs w:val="24"/>
          <w:lang w:val="id-ID"/>
        </w:rPr>
        <w:t>-Syarī'ah</w:t>
      </w:r>
      <w:r w:rsidRPr="00FF00FB">
        <w:rPr>
          <w:rFonts w:ascii="Book Antiqua" w:hAnsi="Book Antiqua" w:cstheme="majorBidi"/>
          <w:b/>
          <w:bCs/>
          <w:color w:val="000000" w:themeColor="text1"/>
          <w:sz w:val="24"/>
          <w:szCs w:val="24"/>
          <w:lang w:val="id-ID"/>
        </w:rPr>
        <w:t xml:space="preserve"> on the position of Believers in the Constitutional Court's decision on Population Administration.</w:t>
      </w:r>
    </w:p>
    <w:p w14:paraId="507BBA2A"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Using the theory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in the analysis of decisions</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{"citationItems":[{"id":"ITEM-1","itemData":{"author":[{"dropping-particle":"","family":"Majda el-Muhtaj","given":"","non-dropping-particle":"","parse-names":false,"suffix":""}],"id":"ITEM-1","issued":{"date-parts":[["2009"]]},"publisher":"Kencana","publisher-place":"Jakarta","title":"Hak Asasi Manusia dalam Konstitusi Indonesia: dari UUD 1945 sampai dengan Amandemen","type":"book"},"uris":["http://www.mendeley.com/documents/?uuid=049e16b9-fd5d-4bae-a52b-2ed2ec0c783d"]}],"mendeley":{"formattedCitation":"(Majda el-Muhtaj, 2009)","plainTextFormattedCitation":"(Majda el-Muhtaj, 2009)","previouslyFormattedCitation":"(Majda el-Muhtaj, 2009)"},"properties":{"noteIndex":0},"schema":"https://github.com/citation-style-language/schema/raw/master/csl-citation.json"}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(Majda el-Muhtaj, 2009)</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w:t>
      </w:r>
      <w:r w:rsidRPr="00FF00FB">
        <w:rPr>
          <w:rFonts w:ascii="Book Antiqua" w:hAnsi="Book Antiqua" w:cstheme="majorBidi"/>
          <w:color w:val="000000" w:themeColor="text1"/>
          <w:sz w:val="24"/>
          <w:szCs w:val="24"/>
          <w:lang w:val="sv-SE"/>
        </w:rPr>
        <w:t xml:space="preserve">The Constitutional Court Number. 97/PUU-XIV/2016 </w:t>
      </w:r>
      <w:r w:rsidRPr="00FF00FB">
        <w:rPr>
          <w:rFonts w:ascii="Book Antiqua" w:hAnsi="Book Antiqua" w:cstheme="majorBidi"/>
          <w:color w:val="000000" w:themeColor="text1"/>
          <w:sz w:val="24"/>
          <w:szCs w:val="24"/>
          <w:lang w:val="sv-SE"/>
        </w:rPr>
        <w:lastRenderedPageBreak/>
        <w:t xml:space="preserve">concerning Population Administration, it is necessary to first understand the application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theory in the context of protecting religious rights. Because the protection of religious rights is the core of the discussion in the decision of the Constitutional Court. As stated in Article 29 paragraph (2) of the 1945 Constitution, that "the State guarantees the independence of each resident to embrace their own religion and to worship according to their religion and belief". Mapping the protection of religious rights in the theory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is needed to be able to map the decision of the Constitutional Court so that it can be assessed using the variables that appear in the theory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p>
    <w:p w14:paraId="16FA3744"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The following is a chart of the application of the Maqā</w:t>
      </w:r>
      <w:r w:rsidRPr="00FF00FB">
        <w:rPr>
          <w:rFonts w:ascii="Cambria" w:hAnsi="Cambria" w:cs="Cambria"/>
          <w:color w:val="000000" w:themeColor="text1"/>
          <w:sz w:val="24"/>
          <w:szCs w:val="24"/>
          <w:lang w:val="sv-SE"/>
        </w:rPr>
        <w:t>ṣ</w:t>
      </w:r>
      <w:r w:rsidRPr="00FF00FB">
        <w:rPr>
          <w:rFonts w:ascii="Book Antiqua" w:hAnsi="Book Antiqua" w:cstheme="majorBidi"/>
          <w:color w:val="000000" w:themeColor="text1"/>
          <w:sz w:val="24"/>
          <w:szCs w:val="24"/>
          <w:lang w:val="sv-SE"/>
        </w:rPr>
        <w:t>id asy-Syarī‘ah theory in the context of the protection of religious rights.</w:t>
      </w:r>
    </w:p>
    <w:p w14:paraId="1826F43D" w14:textId="77777777" w:rsidR="00FF00FB" w:rsidRPr="00FF00FB" w:rsidRDefault="00FF00FB" w:rsidP="00FF00FB">
      <w:pPr>
        <w:ind w:left="540" w:right="-270" w:hanging="360"/>
        <w:contextualSpacing/>
        <w:jc w:val="center"/>
        <w:rPr>
          <w:rFonts w:ascii="Book Antiqua" w:hAnsi="Book Antiqua" w:cstheme="majorBidi"/>
          <w:color w:val="000000" w:themeColor="text1"/>
          <w:sz w:val="24"/>
          <w:szCs w:val="24"/>
        </w:rPr>
      </w:pPr>
      <w:r w:rsidRPr="00FF00FB">
        <w:rPr>
          <w:rFonts w:ascii="Book Antiqua" w:hAnsi="Book Antiqua" w:cstheme="majorBidi"/>
          <w:noProof/>
          <w:color w:val="000000" w:themeColor="text1"/>
          <w:sz w:val="24"/>
          <w:szCs w:val="24"/>
          <w:lang w:val="id-ID" w:eastAsia="id-ID"/>
        </w:rPr>
        <w:drawing>
          <wp:inline distT="0" distB="0" distL="0" distR="0" wp14:anchorId="21334243" wp14:editId="4681D1BE">
            <wp:extent cx="2895600" cy="2609850"/>
            <wp:effectExtent l="0" t="0" r="0" b="0"/>
            <wp:docPr id="13" name="Picture 13" descr="abi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id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5600" cy="2609850"/>
                    </a:xfrm>
                    <a:prstGeom prst="rect">
                      <a:avLst/>
                    </a:prstGeom>
                    <a:noFill/>
                    <a:ln>
                      <a:noFill/>
                    </a:ln>
                  </pic:spPr>
                </pic:pic>
              </a:graphicData>
            </a:graphic>
          </wp:inline>
        </w:drawing>
      </w:r>
    </w:p>
    <w:p w14:paraId="29D21BE2" w14:textId="77777777"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The chart above shows the application of the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w:t>
      </w:r>
      <w:proofErr w:type="gramStart"/>
      <w:r w:rsidRPr="00FF00FB">
        <w:rPr>
          <w:rFonts w:ascii="Book Antiqua" w:hAnsi="Book Antiqua" w:cstheme="majorBidi"/>
          <w:i/>
          <w:iCs/>
          <w:color w:val="000000" w:themeColor="text1"/>
          <w:sz w:val="24"/>
          <w:szCs w:val="24"/>
        </w:rPr>
        <w:t>Syarī‘</w:t>
      </w:r>
      <w:proofErr w:type="gramEnd"/>
      <w:r w:rsidRPr="00FF00FB">
        <w:rPr>
          <w:rFonts w:ascii="Book Antiqua" w:hAnsi="Book Antiqua" w:cstheme="majorBidi"/>
          <w:i/>
          <w:iCs/>
          <w:color w:val="000000" w:themeColor="text1"/>
          <w:sz w:val="24"/>
          <w:szCs w:val="24"/>
        </w:rPr>
        <w:t>ah</w:t>
      </w:r>
      <w:proofErr w:type="spellEnd"/>
      <w:r w:rsidRPr="00FF00FB">
        <w:rPr>
          <w:rFonts w:ascii="Book Antiqua" w:hAnsi="Book Antiqua" w:cstheme="majorBidi"/>
          <w:color w:val="000000" w:themeColor="text1"/>
          <w:sz w:val="24"/>
          <w:szCs w:val="24"/>
        </w:rPr>
        <w:t xml:space="preserve"> theory in the context of the protection of religious rights in Indonesia. At the level of necessity (</w:t>
      </w:r>
      <w:proofErr w:type="spellStart"/>
      <w:r w:rsidRPr="00FF00FB">
        <w:rPr>
          <w:rFonts w:ascii="Cambria" w:hAnsi="Cambria" w:cs="Cambria"/>
          <w:i/>
          <w:iCs/>
          <w:color w:val="000000" w:themeColor="text1"/>
          <w:sz w:val="24"/>
          <w:szCs w:val="24"/>
        </w:rPr>
        <w:t>ḍ</w:t>
      </w:r>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color w:val="000000" w:themeColor="text1"/>
          <w:sz w:val="24"/>
          <w:szCs w:val="24"/>
        </w:rPr>
        <w:t xml:space="preserve">), are goals whose existence is a necessity, their absence can damage the benefit of mankind in general (in the expression of the definition according to </w:t>
      </w:r>
      <w:proofErr w:type="spellStart"/>
      <w:r w:rsidRPr="00FF00FB">
        <w:rPr>
          <w:rFonts w:ascii="Book Antiqua" w:hAnsi="Book Antiqua" w:cstheme="majorBidi"/>
          <w:i/>
          <w:iCs/>
          <w:color w:val="000000" w:themeColor="text1"/>
          <w:sz w:val="24"/>
          <w:szCs w:val="24"/>
        </w:rPr>
        <w:t>Asy-Syā</w:t>
      </w:r>
      <w:r w:rsidRPr="00FF00FB">
        <w:rPr>
          <w:rFonts w:ascii="Cambria" w:hAnsi="Cambria" w:cs="Cambria"/>
          <w:i/>
          <w:iCs/>
          <w:color w:val="000000" w:themeColor="text1"/>
          <w:sz w:val="24"/>
          <w:szCs w:val="24"/>
        </w:rPr>
        <w:t>ṭ</w:t>
      </w:r>
      <w:r w:rsidRPr="00FF00FB">
        <w:rPr>
          <w:rFonts w:ascii="Book Antiqua" w:hAnsi="Book Antiqua" w:cstheme="majorBidi"/>
          <w:i/>
          <w:iCs/>
          <w:color w:val="000000" w:themeColor="text1"/>
          <w:sz w:val="24"/>
          <w:szCs w:val="24"/>
        </w:rPr>
        <w:t>ibī</w:t>
      </w:r>
      <w:proofErr w:type="spellEnd"/>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{"citationItems":[{"id":"ITEM-1","itemData":{"author":[{"dropping-particle":"","family":"asy-Syatibi","given":"","non-dropping-particle":"","parse-names":false,"suffix":""}],"id":"ITEM-1","issued":{"date-parts":[["2004"]]},"publisher":"Darul Kutub al-Ilmiyyah","publisher-place":"Beirut","title":"Al-Muwāfaqāt fi U</w:instrText>
      </w:r>
      <w:r w:rsidRPr="00FF00FB">
        <w:rPr>
          <w:rFonts w:ascii="Cambria" w:hAnsi="Cambria" w:cs="Cambria"/>
          <w:color w:val="000000" w:themeColor="text1"/>
          <w:sz w:val="24"/>
          <w:szCs w:val="24"/>
        </w:rPr>
        <w:instrText>ṣ</w:instrText>
      </w:r>
      <w:r w:rsidRPr="00FF00FB">
        <w:rPr>
          <w:rFonts w:ascii="Book Antiqua" w:hAnsi="Book Antiqua" w:cstheme="majorBidi"/>
          <w:color w:val="000000" w:themeColor="text1"/>
          <w:sz w:val="24"/>
          <w:szCs w:val="24"/>
        </w:rPr>
        <w:instrText>ul asy-Syarī‘ah","type":"book"},"uris":["http://www.mendeley.com/documents/?uuid=5a8053c6-7b9c-4866-94d9-9667943a0d21"]}],"mendeley":{"formattedCitation":"(asy-Syatibi, 2004)","plainTextFormattedCitation":"(asy-Syatibi, 2004)","previouslyFormattedCitation":"(asy-Syatibi, 2004)"},"properties":{"noteIndex":0},"schema":"https://github.com/citation-style-language/schema/raw/master/csl-citation.json"}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(asy-Syatibi, 2004)</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The expansion of the reach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proposed by activists of contemporary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studies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ibī","given":"","non-dropping-particle":"","parse-names":false,"suffix":""}],"id":"ITEM-1","issued":{"date-parts":[["2004"]]},"publisher":"Darul Kutub al-Ilmiyyah","publisher-place":"Beirut","title":"Al-Muwāfaqāt fi U</w:instrText>
      </w:r>
      <w:r w:rsidRPr="00FF00FB">
        <w:rPr>
          <w:rFonts w:ascii="Cambria" w:hAnsi="Cambria" w:cs="Cambria"/>
          <w:color w:val="000000" w:themeColor="text1"/>
          <w:sz w:val="24"/>
          <w:szCs w:val="24"/>
        </w:rPr>
        <w:instrText>ṣ</w:instrText>
      </w:r>
      <w:r w:rsidRPr="00FF00FB">
        <w:rPr>
          <w:rFonts w:ascii="Book Antiqua" w:hAnsi="Book Antiqua" w:cstheme="majorBidi"/>
          <w:color w:val="000000" w:themeColor="text1"/>
          <w:sz w:val="24"/>
          <w:szCs w:val="24"/>
        </w:rPr>
        <w:instrText>ul asy-Syarī‘ah","type":"book"},"uris":["http://www.mendeley.com/documents/?uuid=b6309eb7-a8f4-45c1-a55c-d22144a0be64"]}],"mendeley":{"formattedCitation":"(Asy-Syā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 2004)","plainTextFormattedCitation":"(Asy-Syā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 2004)","previouslyFormattedCitation":"(Asy-Syā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 2004)"},"properties":{"noteIndex":0},"schema":"https://github.com/citation-style-language/schema/raw/master/csl-citation.json"}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(Asy-Syā</w:t>
      </w:r>
      <w:r w:rsidRPr="00FF00FB">
        <w:rPr>
          <w:rFonts w:ascii="Cambria" w:hAnsi="Cambria" w:cs="Cambria"/>
          <w:noProof/>
          <w:color w:val="000000" w:themeColor="text1"/>
          <w:sz w:val="24"/>
          <w:szCs w:val="24"/>
        </w:rPr>
        <w:t>ṭ</w:t>
      </w:r>
      <w:r w:rsidRPr="00FF00FB">
        <w:rPr>
          <w:rFonts w:ascii="Book Antiqua" w:hAnsi="Book Antiqua" w:cstheme="majorBidi"/>
          <w:noProof/>
          <w:color w:val="000000" w:themeColor="text1"/>
          <w:sz w:val="24"/>
          <w:szCs w:val="24"/>
        </w:rPr>
        <w:t>ibī, 2004)</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has broadened the reach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r w:rsidRPr="00FF00FB">
        <w:rPr>
          <w:rFonts w:ascii="Book Antiqua" w:hAnsi="Book Antiqua" w:cstheme="majorBidi"/>
          <w:color w:val="000000" w:themeColor="text1"/>
          <w:sz w:val="24"/>
          <w:szCs w:val="24"/>
        </w:rPr>
        <w:t xml:space="preserve">not only on the philosophical and general side (General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but also the reach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w:t>
      </w:r>
      <w:proofErr w:type="spellEnd"/>
      <w:r w:rsidRPr="00FF00FB">
        <w:rPr>
          <w:rFonts w:ascii="Book Antiqua" w:hAnsi="Book Antiqua" w:cstheme="majorBidi"/>
          <w:i/>
          <w:iCs/>
          <w:color w:val="000000" w:themeColor="text1"/>
          <w:sz w:val="24"/>
          <w:szCs w:val="24"/>
        </w:rPr>
        <w:t>' ah</w:t>
      </w:r>
      <w:r w:rsidRPr="00FF00FB">
        <w:rPr>
          <w:rFonts w:ascii="Book Antiqua" w:hAnsi="Book Antiqua" w:cstheme="majorBidi"/>
          <w:color w:val="000000" w:themeColor="text1"/>
          <w:sz w:val="24"/>
          <w:szCs w:val="24"/>
        </w:rPr>
        <w:t xml:space="preserve"> must also reach out to things that are crucial but casuistic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 Djazuli","given":"","non-dropping-particle":"","parse-names":false,"suffix":""}],"id":"ITEM-1","issued":{"date-parts":[["2003"]]},"publisher":"Prenada Media","publisher-place":"Bandung","title":"Fiqh siyasah","type":"book"},"uris":["http://www.mendeley.com/documents/?uuid=d8472d34-5c53-4774-918f-1d898a2aafcc"]}],"mendeley":{"formattedCitation":"(A Djazuli, 2003)","plainTextFormattedCitation":"(A Djazuli, 2003)","previouslyFormattedCitation":"(A Djazuli, 2003)"},"properties":{"noteIndex":0},"schema":"https://github.com/citation-style-language/schema/raw/master/csl-citation.json"}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 Djazuli, 2003)</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which are still in the framework of realizing the General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These specific, crucial, and casuistic matters are included in the Special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and Partial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which are more applicable and casuistic.</w:t>
      </w:r>
    </w:p>
    <w:p w14:paraId="7415EE5E" w14:textId="77777777" w:rsidR="00FF00FB" w:rsidRDefault="00FF00FB" w:rsidP="00FF00FB">
      <w:pPr>
        <w:ind w:left="426" w:right="-270" w:firstLine="720"/>
        <w:contextualSpacing/>
        <w:jc w:val="both"/>
        <w:rPr>
          <w:rFonts w:ascii="Book Antiqua" w:hAnsi="Book Antiqua" w:cstheme="majorBidi"/>
          <w:color w:val="000000" w:themeColor="text1"/>
          <w:sz w:val="24"/>
          <w:szCs w:val="24"/>
        </w:rPr>
      </w:pP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in the context of the protection of religious rights, places the five inevitabilities of human needs (</w:t>
      </w:r>
      <w:proofErr w:type="spellStart"/>
      <w:r w:rsidRPr="00FF00FB">
        <w:rPr>
          <w:rFonts w:ascii="Cambria" w:hAnsi="Cambria" w:cs="Cambria"/>
          <w:i/>
          <w:iCs/>
          <w:color w:val="000000" w:themeColor="text1"/>
          <w:sz w:val="24"/>
          <w:szCs w:val="24"/>
        </w:rPr>
        <w:t>ḍ</w:t>
      </w:r>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i/>
          <w:iCs/>
          <w:color w:val="000000" w:themeColor="text1"/>
          <w:sz w:val="24"/>
          <w:szCs w:val="24"/>
        </w:rPr>
        <w:t xml:space="preserve"> al-</w:t>
      </w:r>
      <w:proofErr w:type="spellStart"/>
      <w:r w:rsidRPr="00FF00FB">
        <w:rPr>
          <w:rFonts w:ascii="Book Antiqua" w:hAnsi="Book Antiqua" w:cstheme="majorBidi"/>
          <w:i/>
          <w:iCs/>
          <w:color w:val="000000" w:themeColor="text1"/>
          <w:sz w:val="24"/>
          <w:szCs w:val="24"/>
        </w:rPr>
        <w:t>khamsah</w:t>
      </w:r>
      <w:proofErr w:type="spellEnd"/>
      <w:r w:rsidRPr="00FF00FB">
        <w:rPr>
          <w:rFonts w:ascii="Book Antiqua" w:hAnsi="Book Antiqua" w:cstheme="majorBidi"/>
          <w:color w:val="000000" w:themeColor="text1"/>
          <w:sz w:val="24"/>
          <w:szCs w:val="24"/>
        </w:rPr>
        <w:t xml:space="preserve">) in the </w:t>
      </w:r>
      <w:r w:rsidRPr="00FF00FB">
        <w:rPr>
          <w:rFonts w:ascii="Cambria" w:hAnsi="Cambria" w:cs="Cambria"/>
          <w:i/>
          <w:iCs/>
          <w:color w:val="000000" w:themeColor="text1"/>
          <w:sz w:val="24"/>
          <w:szCs w:val="24"/>
          <w:lang w:val="sv-SE"/>
        </w:rPr>
        <w:t>ḍ</w:t>
      </w:r>
      <w:proofErr w:type="spellStart"/>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color w:val="000000" w:themeColor="text1"/>
          <w:sz w:val="24"/>
          <w:szCs w:val="24"/>
        </w:rPr>
        <w:t xml:space="preserve"> position simultaneously, in relation to this discussion, the first priority is protecting religion. 'Why is protecting religion the first priority in this </w:t>
      </w:r>
      <w:r w:rsidRPr="00FF00FB">
        <w:rPr>
          <w:rFonts w:ascii="Book Antiqua" w:hAnsi="Book Antiqua" w:cstheme="majorBidi"/>
          <w:color w:val="000000" w:themeColor="text1"/>
          <w:sz w:val="24"/>
          <w:szCs w:val="24"/>
        </w:rPr>
        <w:lastRenderedPageBreak/>
        <w:t xml:space="preserve">context?' This is because according to the expansion of the scope of the contemporary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it prioritizes one of the </w:t>
      </w:r>
      <w:r w:rsidRPr="00FF00FB">
        <w:rPr>
          <w:rFonts w:ascii="Cambria" w:hAnsi="Cambria" w:cs="Cambria"/>
          <w:i/>
          <w:iCs/>
          <w:color w:val="000000" w:themeColor="text1"/>
          <w:sz w:val="24"/>
          <w:szCs w:val="24"/>
          <w:lang w:val="sv-SE"/>
        </w:rPr>
        <w:t>ḍ</w:t>
      </w:r>
      <w:proofErr w:type="spellStart"/>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i/>
          <w:iCs/>
          <w:color w:val="000000" w:themeColor="text1"/>
          <w:sz w:val="24"/>
          <w:szCs w:val="24"/>
        </w:rPr>
        <w:t xml:space="preserve"> al-</w:t>
      </w:r>
      <w:proofErr w:type="spellStart"/>
      <w:r w:rsidRPr="00FF00FB">
        <w:rPr>
          <w:rFonts w:ascii="Book Antiqua" w:hAnsi="Book Antiqua" w:cstheme="majorBidi"/>
          <w:i/>
          <w:iCs/>
          <w:color w:val="000000" w:themeColor="text1"/>
          <w:sz w:val="24"/>
          <w:szCs w:val="24"/>
        </w:rPr>
        <w:t>khamsah</w:t>
      </w:r>
      <w:proofErr w:type="spellEnd"/>
      <w:r w:rsidRPr="00FF00FB">
        <w:rPr>
          <w:rFonts w:ascii="Book Antiqua" w:hAnsi="Book Antiqua" w:cstheme="majorBidi"/>
          <w:color w:val="000000" w:themeColor="text1"/>
          <w:sz w:val="24"/>
          <w:szCs w:val="24"/>
        </w:rPr>
        <w:t xml:space="preserve"> (protecting religion, protecting souls, safeguarding reason, protecting offspring, safeguarding property), does not mean to exclude other terms of care.</w:t>
      </w:r>
    </w:p>
    <w:p w14:paraId="1574866A" w14:textId="108B3369"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The protection of the right to embrace religion (right to religion) in Indonesia is included in the human rights protected by the 1945 Constitution Article 28E paragraph (1) states, "Everyone is free to embrace religion and worship according to his religion, choose education and teaching, choose work, choose citizenship, choose a place to live in the territory of the country and leave it, and have the right to return". Because it starts with the protection of human rights in religion, it will affect the ability to protect other human rights in the objectives of the </w:t>
      </w:r>
      <w:proofErr w:type="spellStart"/>
      <w:r w:rsidRPr="00FF00FB">
        <w:rPr>
          <w:rFonts w:ascii="Book Antiqua" w:hAnsi="Book Antiqua" w:cstheme="majorBidi"/>
          <w:color w:val="000000" w:themeColor="text1"/>
          <w:sz w:val="24"/>
          <w:szCs w:val="24"/>
        </w:rPr>
        <w:t>Shari'a</w:t>
      </w:r>
      <w:proofErr w:type="spellEnd"/>
      <w:r w:rsidRPr="00FF00FB">
        <w:rPr>
          <w:rFonts w:ascii="Book Antiqua" w:hAnsi="Book Antiqua" w:cstheme="majorBidi"/>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The protection of the right to religion is the basis for protecting other </w:t>
      </w:r>
      <w:proofErr w:type="spellStart"/>
      <w:r w:rsidRPr="00FF00FB">
        <w:rPr>
          <w:rFonts w:ascii="Book Antiqua" w:hAnsi="Book Antiqua" w:cstheme="majorBidi"/>
          <w:color w:val="000000" w:themeColor="text1"/>
          <w:sz w:val="24"/>
          <w:szCs w:val="24"/>
        </w:rPr>
        <w:t>Shari'a</w:t>
      </w:r>
      <w:proofErr w:type="spellEnd"/>
      <w:r w:rsidRPr="00FF00FB">
        <w:rPr>
          <w:rFonts w:ascii="Book Antiqua" w:hAnsi="Book Antiqua" w:cstheme="majorBidi"/>
          <w:color w:val="000000" w:themeColor="text1"/>
          <w:sz w:val="24"/>
          <w:szCs w:val="24"/>
        </w:rPr>
        <w:t xml:space="preserve"> objectives because if adherents of a certain religion (according to statutory provisions) are not properly protected, there will be a potential for clashes between religious communities. This also results in the threat of life, intellect, lineage, and property of adherents of certain religions</w:t>
      </w:r>
      <w:r w:rsidR="009410ED">
        <w:rPr>
          <w:rFonts w:ascii="Book Antiqua" w:hAnsi="Book Antiqua" w:cstheme="majorBidi"/>
          <w:color w:val="000000" w:themeColor="text1"/>
          <w:sz w:val="24"/>
          <w:szCs w:val="24"/>
        </w:rPr>
        <w:t xml:space="preserve"> </w:t>
      </w:r>
      <w:r w:rsidR="009410ED">
        <w:rPr>
          <w:rFonts w:ascii="Book Antiqua" w:hAnsi="Book Antiqua" w:cstheme="majorBidi"/>
          <w:color w:val="000000" w:themeColor="text1"/>
          <w:sz w:val="24"/>
          <w:szCs w:val="24"/>
        </w:rPr>
        <w:fldChar w:fldCharType="begin" w:fldLock="1"/>
      </w:r>
      <w:r w:rsidR="009410ED">
        <w:rPr>
          <w:rFonts w:ascii="Book Antiqua" w:hAnsi="Book Antiqua" w:cstheme="majorBidi"/>
          <w:color w:val="000000" w:themeColor="text1"/>
          <w:sz w:val="24"/>
          <w:szCs w:val="24"/>
        </w:rPr>
        <w:instrText>ADDIN CSL_CITATION {"citationItems":[{"id":"ITEM-1","itemData":{"author":[{"dropping-particle":"","family":"Nashihin","given":"Husna","non-dropping-particle":"","parse-names":false,"suffix":""},{"dropping-particle":"","family":"Yahya","given":"M Daud","non-dropping-particle":"","parse-names":false,"suffix":""},{"dropping-particle":"","family":"Aziz","given":"Noor","non-dropping-particle":"","parse-names":false,"suffix":""}],"id":"ITEM-1","issue":"Dalimunthe 2016","issued":{"date-parts":[["2020"]]},"page":"24158-24168","title":"Morality and Expression of Religious Moderation in \" Pecinan ”","type":"article-journal"},"uris":["http://www.mendeley.com/documents/?uuid=58c2eff1-ea34-4d56-b9d3-70ed4a13c52a"]}],"mendeley":{"formattedCitation":"(Nashihin et al., 2020)","plainTextFormattedCitation":"(Nashihin et al., 2020)"},"properties":{"noteIndex":0},"schema":"https://github.com/citation-style-language/schema/raw/master/csl-citation.json"}</w:instrText>
      </w:r>
      <w:r w:rsidR="009410ED">
        <w:rPr>
          <w:rFonts w:ascii="Book Antiqua" w:hAnsi="Book Antiqua" w:cstheme="majorBidi"/>
          <w:color w:val="000000" w:themeColor="text1"/>
          <w:sz w:val="24"/>
          <w:szCs w:val="24"/>
        </w:rPr>
        <w:fldChar w:fldCharType="separate"/>
      </w:r>
      <w:r w:rsidR="009410ED" w:rsidRPr="009410ED">
        <w:rPr>
          <w:rFonts w:ascii="Book Antiqua" w:hAnsi="Book Antiqua" w:cstheme="majorBidi"/>
          <w:noProof/>
          <w:color w:val="000000" w:themeColor="text1"/>
          <w:sz w:val="24"/>
          <w:szCs w:val="24"/>
        </w:rPr>
        <w:t>(Nashihin et al., 2020)</w:t>
      </w:r>
      <w:r w:rsidR="009410ED">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So that the protection of religion becomes the basis for protecting the rights of protecting the soul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an-nafs</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 xml:space="preserve">, guarding reason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al</w:t>
      </w:r>
      <w:proofErr w:type="gramStart"/>
      <w:r w:rsidRPr="00FF00FB">
        <w:rPr>
          <w:rFonts w:ascii="Book Antiqua" w:eastAsia="Times New Roman" w:hAnsi="Book Antiqua" w:cstheme="majorBidi"/>
          <w:i/>
          <w:iCs/>
          <w:color w:val="000000" w:themeColor="text1"/>
          <w:sz w:val="24"/>
          <w:szCs w:val="24"/>
          <w:lang w:val="id-ID" w:eastAsia="id-ID"/>
        </w:rPr>
        <w:t>-‘</w:t>
      </w:r>
      <w:proofErr w:type="gramEnd"/>
      <w:r w:rsidRPr="00FF00FB">
        <w:rPr>
          <w:rFonts w:ascii="Book Antiqua" w:eastAsia="Times New Roman" w:hAnsi="Book Antiqua" w:cstheme="majorBidi"/>
          <w:i/>
          <w:iCs/>
          <w:color w:val="000000" w:themeColor="text1"/>
          <w:sz w:val="24"/>
          <w:szCs w:val="24"/>
          <w:lang w:val="id-ID" w:eastAsia="id-ID"/>
        </w:rPr>
        <w:t>aql</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 xml:space="preserve">, protecting offspring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an-nasl</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 xml:space="preserve">, and protecting property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al-m</w:t>
      </w:r>
      <w:r w:rsidRPr="00FF00FB">
        <w:rPr>
          <w:rFonts w:ascii="Book Antiqua" w:hAnsi="Book Antiqua" w:cstheme="majorBidi"/>
          <w:i/>
          <w:iCs/>
          <w:color w:val="000000" w:themeColor="text1"/>
          <w:sz w:val="24"/>
          <w:szCs w:val="24"/>
          <w:lang w:val="sv-SE"/>
        </w:rPr>
        <w:t>ā</w:t>
      </w:r>
      <w:r w:rsidRPr="00FF00FB">
        <w:rPr>
          <w:rFonts w:ascii="Book Antiqua" w:eastAsia="Times New Roman" w:hAnsi="Book Antiqua" w:cstheme="majorBidi"/>
          <w:i/>
          <w:iCs/>
          <w:color w:val="000000" w:themeColor="text1"/>
          <w:sz w:val="24"/>
          <w:szCs w:val="24"/>
          <w:lang w:val="id-ID" w:eastAsia="id-ID"/>
        </w:rPr>
        <w:t>l</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w:t>
      </w:r>
    </w:p>
    <w:p w14:paraId="656D8312" w14:textId="77777777"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The discussion of the term maintaining religion in the classical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era, has a focus on studies of Islamic religious rituals, and laws regarding maintaining Islam in a state of war. For example, the implementation of the death penalty against apostates, and calls for war against Christian armies during the Crusades era. However, the laws that were produced through the term preserving religion of the classical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era can no longer be applied in the contemporary era, especially in Indonesia, which is a nation state. So that the application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needs to be narrowed down to things that are more specific and contextual to the era and environment of the Indonesian state.</w:t>
      </w:r>
    </w:p>
    <w:p w14:paraId="1CC4AB2C" w14:textId="783D373C"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At the lower level (which is more specific), there is a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rPr>
        <w:t xml:space="preserve"> at the </w:t>
      </w:r>
      <w:r w:rsidRPr="00FF00FB">
        <w:rPr>
          <w:rFonts w:ascii="Cambria" w:hAnsi="Cambria" w:cs="Cambria"/>
          <w:i/>
          <w:iCs/>
          <w:color w:val="000000" w:themeColor="text1"/>
          <w:sz w:val="24"/>
          <w:szCs w:val="24"/>
          <w:lang w:val="sv-SE"/>
        </w:rPr>
        <w:t>ḍ</w:t>
      </w:r>
      <w:r w:rsidRPr="00FF00FB">
        <w:rPr>
          <w:rFonts w:ascii="Book Antiqua" w:hAnsi="Book Antiqua" w:cstheme="majorBidi"/>
          <w:i/>
          <w:iCs/>
          <w:color w:val="000000" w:themeColor="text1"/>
          <w:sz w:val="24"/>
          <w:szCs w:val="24"/>
          <w:lang w:val="sv-SE"/>
        </w:rPr>
        <w:t>arūriyyah</w:t>
      </w:r>
      <w:r w:rsidRPr="00FF00FB">
        <w:rPr>
          <w:rFonts w:ascii="Book Antiqua" w:hAnsi="Book Antiqua" w:cstheme="majorBidi"/>
          <w:color w:val="000000" w:themeColor="text1"/>
          <w:sz w:val="24"/>
          <w:szCs w:val="24"/>
        </w:rPr>
        <w:t xml:space="preserve"> level, namely the goal of realizing the protection of religious rights. The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rPr>
        <w:t xml:space="preserve"> here is still within the scope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 xml:space="preserve">id </w:t>
      </w:r>
      <w:r w:rsidRPr="00FF00FB">
        <w:rPr>
          <w:rFonts w:ascii="Cambria" w:hAnsi="Cambria" w:cs="Cambria"/>
          <w:i/>
          <w:iCs/>
          <w:color w:val="000000" w:themeColor="text1"/>
          <w:sz w:val="24"/>
          <w:szCs w:val="24"/>
          <w:lang w:val="sv-SE"/>
        </w:rPr>
        <w:t>ḍ</w:t>
      </w:r>
      <w:r w:rsidRPr="00FF00FB">
        <w:rPr>
          <w:rFonts w:ascii="Book Antiqua" w:hAnsi="Book Antiqua" w:cstheme="majorBidi"/>
          <w:i/>
          <w:iCs/>
          <w:color w:val="000000" w:themeColor="text1"/>
          <w:sz w:val="24"/>
          <w:szCs w:val="24"/>
          <w:lang w:val="sv-SE"/>
        </w:rPr>
        <w:t>arūriyyah</w:t>
      </w:r>
      <w:r w:rsidRPr="00FF00FB">
        <w:rPr>
          <w:rFonts w:ascii="Book Antiqua" w:hAnsi="Book Antiqua" w:cstheme="majorBidi"/>
          <w:color w:val="000000" w:themeColor="text1"/>
          <w:sz w:val="24"/>
          <w:szCs w:val="24"/>
        </w:rPr>
        <w:t xml:space="preserve"> (necessary goals), but it is more specific in the context of the protection of religious rights. 'Why is the protection of the right to religion a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rPr>
        <w:t xml:space="preserve"> in this discussion?' This is because, without the protection of the right to religion (any religion), there will be enmity between adherents of one religion and adherents of another religion, and this will create an environment that is not conducive to perform rituals of worship of one religion. This is in accordance with the context of the era and civilization, especially in Indonesia, which consists of various ethnic groups, cultures and religious backgrounds. The word of Allah in the Qur'an states:</w:t>
      </w:r>
    </w:p>
    <w:p w14:paraId="5F7CE764"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rPr>
      </w:pPr>
    </w:p>
    <w:p w14:paraId="3FE78908" w14:textId="77777777" w:rsidR="00FF00FB" w:rsidRPr="00FF00FB" w:rsidRDefault="00FF00FB" w:rsidP="00FF00FB">
      <w:pPr>
        <w:bidi/>
        <w:ind w:left="-142" w:right="-270"/>
        <w:contextualSpacing/>
        <w:jc w:val="both"/>
        <w:rPr>
          <w:rFonts w:ascii="Book Antiqua" w:hAnsi="Book Antiqua" w:cstheme="majorBidi"/>
          <w:color w:val="000000" w:themeColor="text1"/>
          <w:sz w:val="32"/>
          <w:szCs w:val="32"/>
          <w:rtl/>
        </w:rPr>
      </w:pPr>
      <w:r w:rsidRPr="00FF00FB">
        <w:rPr>
          <w:rFonts w:ascii="Book Antiqua" w:hAnsi="Book Antiqua" w:cstheme="majorBidi"/>
          <w:color w:val="000000" w:themeColor="text1"/>
          <w:sz w:val="32"/>
          <w:szCs w:val="32"/>
          <w:rtl/>
        </w:rPr>
        <w:t>لآإكراه في الدين.</w:t>
      </w:r>
    </w:p>
    <w:p w14:paraId="3080CDC6" w14:textId="77777777" w:rsidR="00FF00FB" w:rsidRPr="00FF00FB" w:rsidRDefault="00FF00FB" w:rsidP="00FF00FB">
      <w:pPr>
        <w:ind w:left="720" w:right="-270"/>
        <w:contextualSpacing/>
        <w:jc w:val="both"/>
        <w:rPr>
          <w:rFonts w:ascii="Book Antiqua" w:hAnsi="Book Antiqua" w:cstheme="majorBidi"/>
          <w:i/>
          <w:iCs/>
          <w:color w:val="000000" w:themeColor="text1"/>
          <w:sz w:val="24"/>
          <w:szCs w:val="24"/>
          <w:lang w:val="sv-SE"/>
        </w:rPr>
      </w:pPr>
      <w:r w:rsidRPr="00FF00FB">
        <w:rPr>
          <w:rFonts w:ascii="Book Antiqua" w:hAnsi="Book Antiqua" w:cstheme="majorBidi"/>
          <w:i/>
          <w:iCs/>
          <w:color w:val="000000" w:themeColor="text1"/>
          <w:sz w:val="24"/>
          <w:szCs w:val="24"/>
          <w:lang w:val="sv-SE"/>
        </w:rPr>
        <w:t>"There is no compulsion to (embrace) religion (Islam)..."</w:t>
      </w:r>
    </w:p>
    <w:p w14:paraId="530B0EFD" w14:textId="176BFD28"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The link between the above verse and the context of the protection of religious rights in the application of the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theory is, the purpose implied in the verse is that there is no compulsion to embrace Islam, even though the truth of Islam is absolute. This shows, in the contemporary era, where there is no longer a dichotomy between an infidel state and an Islamic state. So that what is needed in the present era is not a law that is coercive, but a law that is more about protecting religion </w:t>
      </w:r>
      <w:r w:rsidRPr="00FF00FB">
        <w:rPr>
          <w:rFonts w:ascii="Book Antiqua" w:hAnsi="Book Antiqua" w:cstheme="majorBidi"/>
          <w:color w:val="000000" w:themeColor="text1"/>
          <w:sz w:val="24"/>
          <w:szCs w:val="24"/>
          <w:lang w:val="sv-SE"/>
        </w:rPr>
        <w:fldChar w:fldCharType="begin" w:fldLock="1"/>
      </w:r>
      <w:r w:rsidR="00E253D1">
        <w:rPr>
          <w:rFonts w:ascii="Book Antiqua" w:hAnsi="Book Antiqua" w:cstheme="majorBidi"/>
          <w:color w:val="000000" w:themeColor="text1"/>
          <w:sz w:val="24"/>
          <w:szCs w:val="24"/>
          <w:lang w:val="sv-SE"/>
        </w:rPr>
        <w:instrText>ADDIN CSL_CITATION {"citationItems":[{"id":"ITEM-1","itemData":{"author":[{"dropping-particle":"","family":"Jimly Assdhiqqie","given":"","non-dropping-particle":"","parse-names":false,"suffix":""}],"id":"ITEM-1","issued":{"date-parts":[["1997"]]},"publisher":"Indo Hill Co","publisher-place":"Jakarta","title":"Teori dan Aliran Penafsiran Hukum Tata Negara","type":"book"},"uris":["http://www.mendeley.com/documents/?uuid=3f0cb9c1-4abb-436b-abca-8552c28cc4da"]}],"mendeley":{"formattedCitation":"(Jimly Assdhiqqie, 1997)","plainTextFormattedCitation":"(Jimly Assdhiqqie, 1997)","previouslyFormattedCitation":"(Jimly Assdhiqqie, 1997)"},"properties":{"noteIndex":0},"schema":"https://github.com/citation-style-language/schema/raw/master/csl-citation.json"}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(Jimly Assdhiqqie, 1997)</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by respecting adherents of other religions in Indonesia.</w:t>
      </w:r>
    </w:p>
    <w:p w14:paraId="21746AF0"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At this level of the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there is the possibility of evolution (gradual change) in terms of goal setting. The changes may occur when one main goal has been achieved, according to the calculations and priorities of the situation.</w:t>
      </w:r>
    </w:p>
    <w:p w14:paraId="26116ACB"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Expansion of the reach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Jasser Auda also expands the scope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 xml:space="preserve">id </w:t>
      </w:r>
      <w:r w:rsidRPr="00FF00FB">
        <w:rPr>
          <w:rFonts w:ascii="Book Antiqua" w:hAnsi="Book Antiqua" w:cstheme="majorBidi"/>
          <w:color w:val="000000" w:themeColor="text1"/>
          <w:sz w:val="24"/>
          <w:szCs w:val="24"/>
          <w:lang w:val="sv-SE"/>
        </w:rPr>
        <w:t>(goals) in the applicable, and specific to the goals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Partial. The Partial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in the context of this discussion is an acknowledgment of the religious rights of adherents of a belief system. The acknowledgment of adherents of the belief system here occupies the most specific position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in the realization of the protection of religious rights that are adapted to the context of religion in Indonesia. Because it is stated in article 29 paragraph (2) of the 1945 Constitution. In other words, the embodiment of the protection of religious rights in Indonesia </w:t>
      </w:r>
      <w:r w:rsidRPr="00FF00FB">
        <w:rPr>
          <w:rFonts w:ascii="Book Antiqua" w:hAnsi="Book Antiqua" w:cstheme="majorBidi"/>
          <w:color w:val="000000" w:themeColor="text1"/>
          <w:sz w:val="24"/>
          <w:szCs w:val="24"/>
          <w:lang w:val="sv-SE"/>
        </w:rPr>
        <w:fldChar w:fldCharType="begin" w:fldLock="1"/>
      </w:r>
      <w:r w:rsidRPr="00FF00FB">
        <w:rPr>
          <w:rFonts w:ascii="Book Antiqua" w:hAnsi="Book Antiqua" w:cstheme="majorBidi"/>
          <w:color w:val="000000" w:themeColor="text1"/>
          <w:sz w:val="24"/>
          <w:szCs w:val="24"/>
          <w:lang w:val="sv-SE"/>
        </w:rPr>
        <w:instrText>ADDIN CSL_CITATION {"citationItems":[{"id":"ITEM-1","itemData":{"author":[{"dropping-particle":"","family":"Jimly Assdhiqqie","given":"","non-dropping-particle":"","parse-names":false,"suffix":""}],"id":"ITEM-1","issued":{"date-parts":[["2011"]]},"publisher":"PT Raja Grafindo Persada","publisher-place":"Jakarta","title":"Pengantar Ilmu Hukum Tata Negara","type":"book"},"uris":["http://www.mendeley.com/documents/?uuid=9099b4e2-8220-451c-83d2-fe6f585b7772"]}],"mendeley":{"formattedCitation":"(Jimly Assdhiqqie, 2011)","plainTextFormattedCitation":"(Jimly Assdhiqqie, 2011)","previouslyFormattedCitation":"(Jimly Assdhiqqie, 2011)"},"properties":{"noteIndex":0},"schema":"https://github.com/citation-style-language/schema/raw/master/csl-citation.json"}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(Jimly Assdhiqqie, 2011)</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must also recognize the diversity of adherents of belief, as well as other religions that are administratively recognized in Indonesia. </w:t>
      </w:r>
    </w:p>
    <w:p w14:paraId="71C40715" w14:textId="59426448"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The relationship between the three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ids</w:t>
      </w:r>
      <w:r w:rsidRPr="00FF00FB">
        <w:rPr>
          <w:rFonts w:ascii="Book Antiqua" w:hAnsi="Book Antiqua" w:cstheme="majorBidi"/>
          <w:color w:val="000000" w:themeColor="text1"/>
          <w:sz w:val="24"/>
          <w:szCs w:val="24"/>
          <w:lang w:val="sv-SE"/>
        </w:rPr>
        <w:t xml:space="preserve"> above is a deductive relationship from the most general and philosophical level (general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to the applicable partial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level </w:t>
      </w:r>
      <w:r w:rsidRPr="00FF00FB">
        <w:rPr>
          <w:rFonts w:ascii="Book Antiqua" w:hAnsi="Book Antiqua" w:cstheme="majorBidi"/>
          <w:color w:val="000000" w:themeColor="text1"/>
          <w:sz w:val="24"/>
          <w:szCs w:val="24"/>
          <w:lang w:val="sv-SE"/>
        </w:rPr>
        <w:fldChar w:fldCharType="begin" w:fldLock="1"/>
      </w:r>
      <w:r w:rsidR="00E253D1">
        <w:rPr>
          <w:rFonts w:ascii="Book Antiqua" w:hAnsi="Book Antiqua" w:cstheme="majorBidi"/>
          <w:color w:val="000000" w:themeColor="text1"/>
          <w:sz w:val="24"/>
          <w:szCs w:val="24"/>
          <w:lang w:val="sv-SE"/>
        </w:rPr>
        <w:instrText>ADDIN CSL_CITATION {"citationItems":[{"id":"ITEM-1","itemData":{"author":[{"dropping-particle":"","family":"Mukti Fajar ND dan Yulianto Achmad","given":"","non-dropping-particle":"","parse-names":false,"suffix":""}],"id":"ITEM-1","issued":{"date-parts":[["2010"]]},"publisher":"Pustaka Pelajar","publisher-place":"Yogyakarta","title":"Dualisme Penelitian Hukum Normatif dan Empiris","type":"book"},"uris":["http://www.mendeley.com/documents/?uuid=c6358cd3-a85b-4c66-aeea-a2199143a2e1"]}],"mendeley":{"formattedCitation":"(Mukti Fajar ND dan Yulianto Achmad, 2010)","manualFormatting":"(Mukti Fajar ND and Yulianto Achmad, 2010)","plainTextFormattedCitation":"(Mukti Fajar ND dan Yulianto Achmad, 2010)","previouslyFormattedCitation":"(Mukti Fajar ND dan Yulianto Achmad, 2010)"},"properties":{"noteIndex":0},"schema":"https://github.com/citation-style-language/schema/raw/master/csl-citation.json"}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(Mukti Fajar ND and Yulianto Achmad, 2010)</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The consequence is that the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at the level below it must not violate the boundaries of the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at the level above it.</w:t>
      </w:r>
    </w:p>
    <w:p w14:paraId="4568E08D"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id-ID"/>
        </w:rPr>
        <w:t xml:space="preserve"> theory mapping in the protection of religious rights</w:t>
      </w:r>
      <w:r w:rsidRPr="00FF00FB">
        <w:rPr>
          <w:rFonts w:ascii="Book Antiqua" w:hAnsi="Book Antiqua" w:cstheme="majorBidi"/>
          <w:color w:val="000000" w:themeColor="text1"/>
          <w:sz w:val="24"/>
          <w:szCs w:val="24"/>
          <w:lang w:val="sv-SE"/>
        </w:rPr>
        <w:t xml:space="preserve"> </w:t>
      </w:r>
      <w:r w:rsidRPr="00FF00FB">
        <w:rPr>
          <w:rFonts w:ascii="Book Antiqua" w:hAnsi="Book Antiqua" w:cstheme="majorBidi"/>
          <w:color w:val="000000" w:themeColor="text1"/>
          <w:sz w:val="24"/>
          <w:szCs w:val="24"/>
          <w:lang w:val="sv-SE"/>
        </w:rPr>
        <w:fldChar w:fldCharType="begin" w:fldLock="1"/>
      </w:r>
      <w:r w:rsidRPr="00FF00FB">
        <w:rPr>
          <w:rFonts w:ascii="Book Antiqua" w:hAnsi="Book Antiqua" w:cstheme="majorBidi"/>
          <w:color w:val="000000" w:themeColor="text1"/>
          <w:sz w:val="24"/>
          <w:szCs w:val="24"/>
          <w:lang w:val="sv-SE"/>
        </w:rPr>
        <w:instrText>ADDIN CSL_CITATION {"citationItems":[{"id":"ITEM-1","itemData":{"author":[{"dropping-particle":"","family":"Asafri Jaya Bakri","given":"","non-dropping-particle":"","parse-names":false,"suffix":""}],"id":"ITEM-1","issued":{"date-parts":[["1996"]]},"publisher":"PT. Raja Grafindo","publisher-place":"Jakarta","title":"Konsep Maqasid al-Syari’ah Menurut al-Syatibi","type":"book"},"uris":["http://www.mendeley.com/documents/?uuid=e2aba2aa-5331-4e7d-b99e-136a82132082"]}],"mendeley":{"formattedCitation":"(Asafri Jaya Bakri, 1996)","plainTextFormattedCitation":"(Asafri Jaya Bakri, 1996)","previouslyFormattedCitation":"(Asafri Jaya Bakri, 1996)"},"properties":{"noteIndex":0},"schema":"https://github.com/citation-style-language/schema/raw/master/csl-citation.json"}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(Asafri Jaya Bakri, 1996)</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w:t>
      </w:r>
      <w:r w:rsidRPr="00FF00FB">
        <w:rPr>
          <w:rFonts w:ascii="Book Antiqua" w:hAnsi="Book Antiqua" w:cstheme="majorBidi"/>
          <w:color w:val="000000" w:themeColor="text1"/>
          <w:sz w:val="24"/>
          <w:szCs w:val="24"/>
          <w:lang w:val="id-ID"/>
        </w:rPr>
        <w:t>in Indonesia found the variable that every religion in accordance with the 1945 Constitution, including sects of belief, also has the right to be recognized administratively. The decision of the Constitutional Court Number 97/PUU-XIV/2016 concerning Population Administration</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positioned as a means to achieve these goals. And at this point, the decision of the Constitutional Court has given justice to adherents of the belief and is considered to be in accordance with the objectives of the Shari'a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id-ID"/>
        </w:rPr>
        <w:t>) in the form of safeguarding religion.</w:t>
      </w:r>
    </w:p>
    <w:p w14:paraId="684D08A7"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This has also resulted in the protection of religion being the basis for the protection of the rights to protect the soul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an-nafs</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lang w:val="sv-SE"/>
        </w:rPr>
        <w:t xml:space="preserve"> which was previously</w:t>
      </w:r>
      <w:r w:rsidRPr="00FF00FB">
        <w:rPr>
          <w:rFonts w:ascii="Book Antiqua" w:eastAsia="Times New Roman" w:hAnsi="Book Antiqua" w:cstheme="majorBidi"/>
          <w:color w:val="000000" w:themeColor="text1"/>
          <w:sz w:val="24"/>
          <w:szCs w:val="24"/>
          <w:lang w:val="id-ID" w:eastAsia="id-ID"/>
        </w:rPr>
        <w:t xml:space="preserve"> </w:t>
      </w:r>
      <w:r w:rsidRPr="00FF00FB">
        <w:rPr>
          <w:rFonts w:ascii="Book Antiqua" w:eastAsia="Times New Roman" w:hAnsi="Book Antiqua" w:cstheme="majorBidi"/>
          <w:color w:val="000000" w:themeColor="text1"/>
          <w:sz w:val="24"/>
          <w:szCs w:val="24"/>
          <w:lang w:val="id-ID" w:eastAsia="id-ID"/>
        </w:rPr>
        <w:lastRenderedPageBreak/>
        <w:fldChar w:fldCharType="begin" w:fldLock="1"/>
      </w:r>
      <w:r w:rsidRPr="00FF00FB">
        <w:rPr>
          <w:rFonts w:ascii="Book Antiqua" w:eastAsia="Times New Roman" w:hAnsi="Book Antiqua" w:cstheme="majorBidi"/>
          <w:color w:val="000000" w:themeColor="text1"/>
          <w:sz w:val="24"/>
          <w:szCs w:val="24"/>
          <w:lang w:val="id-ID" w:eastAsia="id-ID"/>
        </w:rPr>
        <w:instrText>ADDIN CSL_CITATION {"citationItems":[{"id":"ITEM-1","itemData":{"author":[{"dropping-particle":"","family":"Antonio Cassssesse","given":"","non-dropping-particle":"","parse-names":false,"suffix":""}],"id":"ITEM-1","issued":{"date-parts":[["0"]]},"title":"Hak Asasi Manusia di Dunia yang Berubah, yang diterjemahkan oleh: A. Rahman Zainuddin dari judul asli: Humn Rights in a Changing World","type":"book"},"uris":["http://www.mendeley.com/documents/?uuid=05fb5332-b3c2-47bb-bf35-4598a0522c37"]}],"mendeley":{"formattedCitation":"(Antonio Cassssesse, n.d.)","plainTextFormattedCitation":"(Antonio Cassssesse, n.d.)","previouslyFormattedCitation":"(Antonio Cassssesse, n.d.)"},"properties":{"noteIndex":0},"schema":"https://github.com/citation-style-language/schema/raw/master/csl-citation.json"}</w:instrText>
      </w:r>
      <w:r w:rsidRPr="00FF00FB">
        <w:rPr>
          <w:rFonts w:ascii="Book Antiqua" w:eastAsia="Times New Roman" w:hAnsi="Book Antiqua" w:cstheme="majorBidi"/>
          <w:color w:val="000000" w:themeColor="text1"/>
          <w:sz w:val="24"/>
          <w:szCs w:val="24"/>
          <w:lang w:val="id-ID" w:eastAsia="id-ID"/>
        </w:rPr>
        <w:fldChar w:fldCharType="separate"/>
      </w:r>
      <w:r w:rsidRPr="00FF00FB">
        <w:rPr>
          <w:rFonts w:ascii="Book Antiqua" w:eastAsia="Times New Roman" w:hAnsi="Book Antiqua" w:cstheme="majorBidi"/>
          <w:noProof/>
          <w:color w:val="000000" w:themeColor="text1"/>
          <w:sz w:val="24"/>
          <w:szCs w:val="24"/>
          <w:lang w:val="id-ID" w:eastAsia="id-ID"/>
        </w:rPr>
        <w:t>(Antonio Cassssesse, n.d.)</w:t>
      </w:r>
      <w:r w:rsidRPr="00FF00FB">
        <w:rPr>
          <w:rFonts w:ascii="Book Antiqua" w:eastAsia="Times New Roman" w:hAnsi="Book Antiqua" w:cstheme="majorBidi"/>
          <w:color w:val="000000" w:themeColor="text1"/>
          <w:sz w:val="24"/>
          <w:szCs w:val="24"/>
          <w:lang w:val="id-ID" w:eastAsia="id-ID"/>
        </w:rPr>
        <w:fldChar w:fldCharType="end"/>
      </w:r>
      <w:r w:rsidRPr="00FF00FB">
        <w:rPr>
          <w:rFonts w:ascii="Book Antiqua" w:eastAsia="Times New Roman" w:hAnsi="Book Antiqua" w:cstheme="majorBidi"/>
          <w:color w:val="000000" w:themeColor="text1"/>
          <w:sz w:val="24"/>
          <w:szCs w:val="24"/>
          <w:lang w:eastAsia="id-ID"/>
        </w:rPr>
        <w:t xml:space="preserve"> </w:t>
      </w:r>
      <w:r w:rsidRPr="00FF00FB">
        <w:rPr>
          <w:rFonts w:ascii="Book Antiqua" w:hAnsi="Book Antiqua" w:cstheme="majorBidi"/>
          <w:color w:val="000000" w:themeColor="text1"/>
          <w:sz w:val="24"/>
          <w:szCs w:val="24"/>
          <w:lang w:val="sv-SE"/>
        </w:rPr>
        <w:t>considered a heretical teaching and has been stigmatized as infidel from society</w:t>
      </w:r>
      <w:r w:rsidRPr="00FF00FB">
        <w:rPr>
          <w:rFonts w:ascii="Book Antiqua" w:eastAsia="Times New Roman" w:hAnsi="Book Antiqua" w:cstheme="majorBidi"/>
          <w:color w:val="000000" w:themeColor="text1"/>
          <w:sz w:val="24"/>
          <w:szCs w:val="24"/>
          <w:lang w:eastAsia="id-ID"/>
        </w:rPr>
        <w:t xml:space="preserve"> </w:t>
      </w:r>
      <w:r w:rsidRPr="00FF00FB">
        <w:rPr>
          <w:rFonts w:ascii="Book Antiqua" w:eastAsia="Times New Roman" w:hAnsi="Book Antiqua" w:cstheme="majorBidi"/>
          <w:color w:val="000000" w:themeColor="text1"/>
          <w:sz w:val="24"/>
          <w:szCs w:val="24"/>
          <w:lang w:eastAsia="id-ID"/>
        </w:rPr>
        <w:fldChar w:fldCharType="begin" w:fldLock="1"/>
      </w:r>
      <w:r w:rsidRPr="00FF00FB">
        <w:rPr>
          <w:rFonts w:ascii="Book Antiqua" w:eastAsia="Times New Roman" w:hAnsi="Book Antiqua" w:cstheme="majorBidi"/>
          <w:color w:val="000000" w:themeColor="text1"/>
          <w:sz w:val="24"/>
          <w:szCs w:val="24"/>
          <w:lang w:eastAsia="id-ID"/>
        </w:rPr>
        <w:instrText>ADDIN CSL_CITATION {"citationItems":[{"id":"ITEM-1","itemData":{"author":[{"dropping-particle":"","family":"Asplund","given":"Knut D","non-dropping-particle":"","parse-names":false,"suffix":""}],"id":"ITEM-1","issued":{"date-parts":[["2008"]]},"publisher":"Pusham UII dan University of Oslo","publisher-place":"Yogyakarta","title":"Hukum Hak Asasi Manusia","type":"book"},"uris":["http://www.mendeley.com/documents/?uuid=434c7ea2-a72a-4d09-8249-5bb8bdf801aa"]}],"mendeley":{"formattedCitation":"(Asplund, 2008)","plainTextFormattedCitation":"(Asplund, 2008)","previouslyFormattedCitation":"(Asplund, 2008)"},"properties":{"noteIndex":0},"schema":"https://github.com/citation-style-language/schema/raw/master/csl-citation.json"}</w:instrText>
      </w:r>
      <w:r w:rsidRPr="00FF00FB">
        <w:rPr>
          <w:rFonts w:ascii="Book Antiqua" w:eastAsia="Times New Roman" w:hAnsi="Book Antiqua" w:cstheme="majorBidi"/>
          <w:color w:val="000000" w:themeColor="text1"/>
          <w:sz w:val="24"/>
          <w:szCs w:val="24"/>
          <w:lang w:eastAsia="id-ID"/>
        </w:rPr>
        <w:fldChar w:fldCharType="separate"/>
      </w:r>
      <w:r w:rsidRPr="00FF00FB">
        <w:rPr>
          <w:rFonts w:ascii="Book Antiqua" w:eastAsia="Times New Roman" w:hAnsi="Book Antiqua" w:cstheme="majorBidi"/>
          <w:noProof/>
          <w:color w:val="000000" w:themeColor="text1"/>
          <w:sz w:val="24"/>
          <w:szCs w:val="24"/>
          <w:lang w:eastAsia="id-ID"/>
        </w:rPr>
        <w:t>(Asplund, 2008)</w:t>
      </w:r>
      <w:r w:rsidRPr="00FF00FB">
        <w:rPr>
          <w:rFonts w:ascii="Book Antiqua" w:eastAsia="Times New Roman" w:hAnsi="Book Antiqua" w:cstheme="majorBidi"/>
          <w:color w:val="000000" w:themeColor="text1"/>
          <w:sz w:val="24"/>
          <w:szCs w:val="24"/>
          <w:lang w:eastAsia="id-ID"/>
        </w:rPr>
        <w:fldChar w:fldCharType="end"/>
      </w:r>
      <w:r w:rsidRPr="00FF00FB">
        <w:rPr>
          <w:rFonts w:ascii="Book Antiqua" w:eastAsia="Times New Roman" w:hAnsi="Book Antiqua" w:cstheme="majorBidi"/>
          <w:color w:val="000000" w:themeColor="text1"/>
          <w:sz w:val="24"/>
          <w:szCs w:val="24"/>
          <w:lang w:val="id-ID" w:eastAsia="id-ID"/>
        </w:rPr>
        <w:t xml:space="preserve"> </w:t>
      </w:r>
      <w:r w:rsidRPr="00FF00FB">
        <w:rPr>
          <w:rFonts w:ascii="Book Antiqua" w:hAnsi="Book Antiqua" w:cstheme="majorBidi"/>
          <w:color w:val="000000" w:themeColor="text1"/>
          <w:sz w:val="24"/>
          <w:szCs w:val="24"/>
          <w:lang w:val="sv-SE"/>
        </w:rPr>
        <w:t xml:space="preserve">and citizens of Believers feel that their lives are threatened, after the issuance of the Constitutional Court's decision, it gives fresh air to Believers in carrying out their activities such as worshiping and providing protection status in the form of inclusion of belief in the religious column in the Family Card and Identity Card. </w:t>
      </w:r>
    </w:p>
    <w:p w14:paraId="68FABA4E" w14:textId="0E5B86BF" w:rsidR="00B56D4F" w:rsidRPr="00FF00FB" w:rsidRDefault="00FF00FB" w:rsidP="00FF00FB">
      <w:pPr>
        <w:ind w:left="426" w:right="-270" w:firstLine="720"/>
        <w:contextualSpacing/>
        <w:jc w:val="both"/>
        <w:rPr>
          <w:rFonts w:ascii="Book Antiqua" w:hAnsi="Book Antiqua"/>
          <w:sz w:val="24"/>
          <w:szCs w:val="24"/>
        </w:rPr>
      </w:pPr>
      <w:r w:rsidRPr="00FF00FB">
        <w:rPr>
          <w:rFonts w:ascii="Book Antiqua" w:hAnsi="Book Antiqua" w:cstheme="majorBidi"/>
          <w:color w:val="000000" w:themeColor="text1"/>
          <w:sz w:val="24"/>
          <w:szCs w:val="24"/>
          <w:lang w:val="sv-SE"/>
        </w:rPr>
        <w:t>Keeping the mind (</w:t>
      </w:r>
      <w:r w:rsidRPr="00FF00FB">
        <w:rPr>
          <w:rFonts w:ascii="Cambria" w:hAnsi="Cambria" w:cs="Cambria"/>
          <w:i/>
          <w:iCs/>
          <w:color w:val="000000" w:themeColor="text1"/>
          <w:sz w:val="24"/>
          <w:szCs w:val="24"/>
          <w:lang w:val="sv-SE"/>
        </w:rPr>
        <w:t>ḥ</w:t>
      </w:r>
      <w:r w:rsidRPr="00FF00FB">
        <w:rPr>
          <w:rFonts w:ascii="Book Antiqua" w:hAnsi="Book Antiqua" w:cstheme="majorBidi"/>
          <w:i/>
          <w:iCs/>
          <w:color w:val="000000" w:themeColor="text1"/>
          <w:sz w:val="24"/>
          <w:szCs w:val="24"/>
          <w:lang w:val="sv-SE"/>
        </w:rPr>
        <w:t>ifż al-'aql</w:t>
      </w:r>
      <w:r w:rsidRPr="00FF00FB">
        <w:rPr>
          <w:rFonts w:ascii="Book Antiqua" w:hAnsi="Book Antiqua" w:cstheme="majorBidi"/>
          <w:color w:val="000000" w:themeColor="text1"/>
          <w:sz w:val="24"/>
          <w:szCs w:val="24"/>
          <w:lang w:val="sv-SE"/>
        </w:rPr>
        <w:t>) and keeping the offspring (</w:t>
      </w:r>
      <w:r w:rsidRPr="00FF00FB">
        <w:rPr>
          <w:rFonts w:ascii="Cambria" w:hAnsi="Cambria" w:cs="Cambria"/>
          <w:i/>
          <w:iCs/>
          <w:color w:val="000000" w:themeColor="text1"/>
          <w:sz w:val="24"/>
          <w:szCs w:val="24"/>
          <w:lang w:val="sv-SE"/>
        </w:rPr>
        <w:t>ḥ</w:t>
      </w:r>
      <w:r w:rsidRPr="00FF00FB">
        <w:rPr>
          <w:rFonts w:ascii="Book Antiqua" w:hAnsi="Book Antiqua" w:cstheme="majorBidi"/>
          <w:i/>
          <w:iCs/>
          <w:color w:val="000000" w:themeColor="text1"/>
          <w:sz w:val="24"/>
          <w:szCs w:val="24"/>
          <w:lang w:val="sv-SE"/>
        </w:rPr>
        <w:t>ifż an-nasl</w:t>
      </w:r>
      <w:r w:rsidRPr="00FF00FB">
        <w:rPr>
          <w:rFonts w:ascii="Book Antiqua" w:hAnsi="Book Antiqua" w:cstheme="majorBidi"/>
          <w:color w:val="000000" w:themeColor="text1"/>
          <w:sz w:val="24"/>
          <w:szCs w:val="24"/>
          <w:lang w:val="sv-SE"/>
        </w:rPr>
        <w:t>), from the implications of the Constitutional Court's decision, one of which has an impact on Believers in terms of education, namely the issuance of a regulation from the Minister of Education and Culture regarding education services Belief in God Almighty Number 27 of 2016, and the last one is protecting property (</w:t>
      </w:r>
      <w:r w:rsidRPr="00FF00FB">
        <w:rPr>
          <w:rFonts w:ascii="Cambria" w:hAnsi="Cambria" w:cs="Cambria"/>
          <w:i/>
          <w:iCs/>
          <w:color w:val="000000" w:themeColor="text1"/>
          <w:sz w:val="24"/>
          <w:szCs w:val="24"/>
          <w:lang w:val="sv-SE"/>
        </w:rPr>
        <w:t>ḥ</w:t>
      </w:r>
      <w:r w:rsidRPr="00FF00FB">
        <w:rPr>
          <w:rFonts w:ascii="Book Antiqua" w:hAnsi="Book Antiqua" w:cstheme="majorBidi"/>
          <w:i/>
          <w:iCs/>
          <w:color w:val="000000" w:themeColor="text1"/>
          <w:sz w:val="24"/>
          <w:szCs w:val="24"/>
          <w:lang w:val="sv-SE"/>
        </w:rPr>
        <w:t>ifż al-māl</w:t>
      </w:r>
      <w:r w:rsidRPr="00FF00FB">
        <w:rPr>
          <w:rFonts w:ascii="Book Antiqua" w:hAnsi="Book Antiqua" w:cstheme="majorBidi"/>
          <w:color w:val="000000" w:themeColor="text1"/>
          <w:sz w:val="24"/>
          <w:szCs w:val="24"/>
          <w:lang w:val="sv-SE"/>
        </w:rPr>
        <w:t>) or granting rights to get a job, in this case according to Mr. M. Hardjo Soedarjono that, "Even though at this time the government has not carried out the mandate ordered by the Constitutional Court's decision, namely the right to get a job (to become a Civil Servant), but with this decision, at least it gives hope that in the future it will provide equal opportunities in providing equal employment with 6 (six) adherents of recognized religions”.</w:t>
      </w: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85CFB64" w14:textId="7A86739D" w:rsidR="00B56D4F" w:rsidRPr="00B56D4F" w:rsidRDefault="00B56D4F" w:rsidP="00B56D4F">
      <w:pPr>
        <w:pStyle w:val="Heading1"/>
        <w:jc w:val="left"/>
        <w:rPr>
          <w:rFonts w:ascii="Book Antiqua" w:hAnsi="Book Antiqua"/>
          <w:sz w:val="24"/>
          <w:szCs w:val="24"/>
        </w:rPr>
      </w:pPr>
      <w:r>
        <w:rPr>
          <w:rFonts w:ascii="Book Antiqua" w:hAnsi="Book Antiqua"/>
          <w:sz w:val="24"/>
          <w:szCs w:val="24"/>
          <w:lang w:val="id-ID"/>
        </w:rPr>
        <w:t xml:space="preserve">4. </w:t>
      </w:r>
      <w:r w:rsidRPr="00B56D4F">
        <w:rPr>
          <w:rFonts w:ascii="Book Antiqua" w:hAnsi="Book Antiqua"/>
          <w:sz w:val="24"/>
          <w:szCs w:val="24"/>
        </w:rPr>
        <w:t>Conclusion</w:t>
      </w:r>
    </w:p>
    <w:p w14:paraId="21919C3C" w14:textId="77777777" w:rsidR="00FF00FB" w:rsidRDefault="00FF00FB" w:rsidP="00FF00FB">
      <w:pPr>
        <w:ind w:left="284" w:right="-270" w:firstLine="720"/>
        <w:contextualSpacing/>
        <w:jc w:val="both"/>
        <w:rPr>
          <w:rFonts w:ascii="Book Antiqua" w:hAnsi="Book Antiqua"/>
          <w:sz w:val="24"/>
          <w:szCs w:val="24"/>
        </w:rPr>
      </w:pPr>
      <w:r w:rsidRPr="00FF00FB">
        <w:rPr>
          <w:rFonts w:ascii="Book Antiqua" w:hAnsi="Book Antiqua"/>
          <w:sz w:val="24"/>
          <w:szCs w:val="24"/>
        </w:rPr>
        <w:t xml:space="preserve">The </w:t>
      </w:r>
      <w:r w:rsidRPr="00FF00FB">
        <w:rPr>
          <w:rFonts w:ascii="Book Antiqua" w:hAnsi="Book Antiqua" w:cstheme="majorBidi"/>
          <w:color w:val="000000" w:themeColor="text1"/>
          <w:sz w:val="24"/>
          <w:szCs w:val="24"/>
          <w:lang w:val="sv-SE"/>
        </w:rPr>
        <w:t>decision</w:t>
      </w:r>
      <w:r w:rsidRPr="00FF00FB">
        <w:rPr>
          <w:rFonts w:ascii="Book Antiqua" w:hAnsi="Book Antiqua"/>
          <w:sz w:val="24"/>
          <w:szCs w:val="24"/>
        </w:rPr>
        <w:t xml:space="preserve"> of the Constitutional Court Number 97/PUU-XIV/2016 concerning Population Administration issued on 7 November 2017 has given position and justice to adherents of a belief. Thus, in the study of Human Rights, the decision of the Constitutional Court has covered the right of Believers in obtaining recognition from the state in the form of including Belief in the religion column on the Identity card and Family card in line with the principle of non-discrimination, equality (egalitarian) and universal. The implications of the decision of the Constitutional Court Number 97/PUU-XIV/2016 concerning Population Administration on the position of Believers are marked by government policies, one of which is the issuance of circulars related to changes in the religious column on Family </w:t>
      </w:r>
      <w:proofErr w:type="gramStart"/>
      <w:r w:rsidRPr="00FF00FB">
        <w:rPr>
          <w:rFonts w:ascii="Book Antiqua" w:hAnsi="Book Antiqua"/>
          <w:sz w:val="24"/>
          <w:szCs w:val="24"/>
        </w:rPr>
        <w:t>Cards  and</w:t>
      </w:r>
      <w:proofErr w:type="gramEnd"/>
      <w:r w:rsidRPr="00FF00FB">
        <w:rPr>
          <w:rFonts w:ascii="Book Antiqua" w:hAnsi="Book Antiqua"/>
          <w:sz w:val="24"/>
          <w:szCs w:val="24"/>
        </w:rPr>
        <w:t xml:space="preserve"> Identity Cards.</w:t>
      </w:r>
    </w:p>
    <w:p w14:paraId="62250D55" w14:textId="7A705D97" w:rsidR="00B56D4F" w:rsidRDefault="00FF00FB" w:rsidP="00FF00FB">
      <w:pPr>
        <w:ind w:left="284" w:right="-270" w:firstLine="720"/>
        <w:contextualSpacing/>
        <w:jc w:val="both"/>
        <w:rPr>
          <w:rFonts w:ascii="Book Antiqua" w:hAnsi="Book Antiqua"/>
          <w:sz w:val="24"/>
          <w:szCs w:val="24"/>
        </w:rPr>
      </w:pPr>
      <w:r w:rsidRPr="00FF00FB">
        <w:rPr>
          <w:rFonts w:ascii="Book Antiqua" w:hAnsi="Book Antiqua"/>
          <w:sz w:val="24"/>
          <w:szCs w:val="24"/>
        </w:rPr>
        <w:t xml:space="preserve">Based on the review of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asy-Syarī‘ah</w:t>
      </w:r>
      <w:proofErr w:type="spellEnd"/>
      <w:r w:rsidRPr="00FF00FB">
        <w:rPr>
          <w:rFonts w:ascii="Book Antiqua" w:hAnsi="Book Antiqua"/>
          <w:sz w:val="24"/>
          <w:szCs w:val="24"/>
        </w:rPr>
        <w:t xml:space="preserve">, the position of Believers in the decision of the Constitutional Court Number 97/PUU-XIV/2016 concerning Population Administration, the decision is considered to be in accordance with the objectives of </w:t>
      </w:r>
      <w:proofErr w:type="spellStart"/>
      <w:r w:rsidRPr="00FF00FB">
        <w:rPr>
          <w:rFonts w:ascii="Book Antiqua" w:hAnsi="Book Antiqua"/>
          <w:sz w:val="24"/>
          <w:szCs w:val="24"/>
        </w:rPr>
        <w:t>Shari'a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asy-Syarī'ah</w:t>
      </w:r>
      <w:proofErr w:type="spellEnd"/>
      <w:r w:rsidRPr="00FF00FB">
        <w:rPr>
          <w:rFonts w:ascii="Book Antiqua" w:hAnsi="Book Antiqua"/>
          <w:sz w:val="24"/>
          <w:szCs w:val="24"/>
        </w:rPr>
        <w:t>) in the form of safeguarding religion, so that religious protection becomes basic protection of the rights to guard the soul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nafs</w:t>
      </w:r>
      <w:proofErr w:type="spellEnd"/>
      <w:r w:rsidRPr="00FF00FB">
        <w:rPr>
          <w:rFonts w:ascii="Book Antiqua" w:hAnsi="Book Antiqua"/>
          <w:sz w:val="24"/>
          <w:szCs w:val="24"/>
        </w:rPr>
        <w:t>), guard the mind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spellStart"/>
      <w:r w:rsidRPr="00FF00FB">
        <w:rPr>
          <w:rFonts w:ascii="Book Antiqua" w:hAnsi="Book Antiqua"/>
          <w:sz w:val="24"/>
          <w:szCs w:val="24"/>
        </w:rPr>
        <w:t>aql</w:t>
      </w:r>
      <w:proofErr w:type="spellEnd"/>
      <w:r w:rsidRPr="00FF00FB">
        <w:rPr>
          <w:rFonts w:ascii="Book Antiqua" w:hAnsi="Book Antiqua"/>
          <w:sz w:val="24"/>
          <w:szCs w:val="24"/>
        </w:rPr>
        <w:t>), protect the offspring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nasl</w:t>
      </w:r>
      <w:proofErr w:type="spellEnd"/>
      <w:r w:rsidRPr="00FF00FB">
        <w:rPr>
          <w:rFonts w:ascii="Book Antiqua" w:hAnsi="Book Antiqua"/>
          <w:sz w:val="24"/>
          <w:szCs w:val="24"/>
        </w:rPr>
        <w:t>), and guard property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spellStart"/>
      <w:r w:rsidRPr="00FF00FB">
        <w:rPr>
          <w:rFonts w:ascii="Book Antiqua" w:hAnsi="Book Antiqua"/>
          <w:sz w:val="24"/>
          <w:szCs w:val="24"/>
        </w:rPr>
        <w:t>māl</w:t>
      </w:r>
      <w:proofErr w:type="spellEnd"/>
      <w:r w:rsidRPr="00FF00FB">
        <w:rPr>
          <w:rFonts w:ascii="Book Antiqua" w:hAnsi="Book Antiqua"/>
          <w:sz w:val="24"/>
          <w:szCs w:val="24"/>
        </w:rPr>
        <w:t>) at the level of necessity (</w:t>
      </w:r>
      <w:proofErr w:type="spellStart"/>
      <w:r w:rsidRPr="00FF00FB">
        <w:rPr>
          <w:rFonts w:ascii="Cambria" w:hAnsi="Cambria" w:cs="Cambria"/>
          <w:sz w:val="24"/>
          <w:szCs w:val="24"/>
        </w:rPr>
        <w:t>ḍ</w:t>
      </w:r>
      <w:r w:rsidRPr="00FF00FB">
        <w:rPr>
          <w:rFonts w:ascii="Book Antiqua" w:hAnsi="Book Antiqua"/>
          <w:sz w:val="24"/>
          <w:szCs w:val="24"/>
        </w:rPr>
        <w:t>arūriyyah</w:t>
      </w:r>
      <w:proofErr w:type="spellEnd"/>
      <w:r w:rsidRPr="00FF00FB">
        <w:rPr>
          <w:rFonts w:ascii="Book Antiqua" w:hAnsi="Book Antiqua"/>
          <w:sz w:val="24"/>
          <w:szCs w:val="24"/>
        </w:rPr>
        <w:t xml:space="preserve">) at the level of general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which is philosophical.</w:t>
      </w:r>
    </w:p>
    <w:p w14:paraId="1DE878D6" w14:textId="77777777" w:rsidR="00FF00FB" w:rsidRPr="00B56D4F" w:rsidRDefault="00FF00FB" w:rsidP="00FF00FB">
      <w:pPr>
        <w:ind w:left="284" w:right="-270" w:firstLine="720"/>
        <w:contextualSpacing/>
        <w:jc w:val="both"/>
        <w:rPr>
          <w:rFonts w:ascii="Book Antiqua" w:hAnsi="Book Antiqua"/>
          <w:sz w:val="24"/>
          <w:szCs w:val="24"/>
        </w:rPr>
      </w:pPr>
    </w:p>
    <w:p w14:paraId="715EE958" w14:textId="2664E4BC" w:rsidR="009410ED" w:rsidRPr="009410ED" w:rsidRDefault="00B56D4F" w:rsidP="009410ED">
      <w:pPr>
        <w:pStyle w:val="Heading1"/>
        <w:rPr>
          <w:rStyle w:val="Strong"/>
          <w:rFonts w:ascii="Book Antiqua" w:hAnsi="Book Antiqua"/>
          <w:b/>
          <w:bCs/>
          <w:sz w:val="24"/>
          <w:szCs w:val="24"/>
          <w:lang w:val="id-ID"/>
        </w:rPr>
      </w:pPr>
      <w:r w:rsidRPr="00B56D4F">
        <w:rPr>
          <w:rFonts w:ascii="Book Antiqua" w:hAnsi="Book Antiqua"/>
          <w:sz w:val="24"/>
          <w:szCs w:val="24"/>
          <w:lang w:val="id-ID"/>
        </w:rPr>
        <w:lastRenderedPageBreak/>
        <w:t>Refrences</w:t>
      </w:r>
    </w:p>
    <w:p w14:paraId="283A72AC" w14:textId="27BF4FA3"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Pr>
          <w:rStyle w:val="Strong"/>
          <w:rFonts w:ascii="Book Antiqua" w:hAnsi="Book Antiqua"/>
          <w:sz w:val="24"/>
          <w:szCs w:val="24"/>
        </w:rPr>
        <w:fldChar w:fldCharType="begin" w:fldLock="1"/>
      </w:r>
      <w:r>
        <w:rPr>
          <w:rStyle w:val="Strong"/>
          <w:rFonts w:ascii="Book Antiqua" w:hAnsi="Book Antiqua"/>
          <w:sz w:val="24"/>
          <w:szCs w:val="24"/>
        </w:rPr>
        <w:instrText xml:space="preserve">ADDIN Mendeley Bibliography CSL_BIBLIOGRAPHY </w:instrText>
      </w:r>
      <w:r>
        <w:rPr>
          <w:rStyle w:val="Strong"/>
          <w:rFonts w:ascii="Book Antiqua" w:hAnsi="Book Antiqua"/>
          <w:sz w:val="24"/>
          <w:szCs w:val="24"/>
        </w:rPr>
        <w:fldChar w:fldCharType="separate"/>
      </w:r>
      <w:r w:rsidRPr="009410ED">
        <w:rPr>
          <w:rFonts w:ascii="Book Antiqua" w:hAnsi="Book Antiqua"/>
          <w:noProof/>
          <w:sz w:val="24"/>
          <w:szCs w:val="24"/>
        </w:rPr>
        <w:t xml:space="preserve">A Djazuli. (2003). </w:t>
      </w:r>
      <w:r w:rsidRPr="009410ED">
        <w:rPr>
          <w:rFonts w:ascii="Book Antiqua" w:hAnsi="Book Antiqua"/>
          <w:i/>
          <w:iCs/>
          <w:noProof/>
          <w:sz w:val="24"/>
          <w:szCs w:val="24"/>
        </w:rPr>
        <w:t>Fiqh siyasah</w:t>
      </w:r>
      <w:r w:rsidRPr="009410ED">
        <w:rPr>
          <w:rFonts w:ascii="Book Antiqua" w:hAnsi="Book Antiqua"/>
          <w:noProof/>
          <w:sz w:val="24"/>
          <w:szCs w:val="24"/>
        </w:rPr>
        <w:t>. Prenada Media.</w:t>
      </w:r>
    </w:p>
    <w:p w14:paraId="654DF471"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Albert H Y Chen. (2000). </w:t>
      </w:r>
      <w:r w:rsidRPr="009410ED">
        <w:rPr>
          <w:rFonts w:ascii="Book Antiqua" w:hAnsi="Book Antiqua"/>
          <w:i/>
          <w:iCs/>
          <w:noProof/>
          <w:sz w:val="24"/>
          <w:szCs w:val="24"/>
        </w:rPr>
        <w:t>The Interpretation of the Basic Law-Common Law and Mainland Chinese Prespecties</w:t>
      </w:r>
      <w:r w:rsidRPr="009410ED">
        <w:rPr>
          <w:rFonts w:ascii="Book Antiqua" w:hAnsi="Book Antiqua"/>
          <w:noProof/>
          <w:sz w:val="24"/>
          <w:szCs w:val="24"/>
        </w:rPr>
        <w:t>. Hong Kong Journal Ltd.</w:t>
      </w:r>
    </w:p>
    <w:p w14:paraId="7AA78996"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Amad Imam Mawardi. (2012). </w:t>
      </w:r>
      <w:r w:rsidRPr="009410ED">
        <w:rPr>
          <w:rFonts w:ascii="Book Antiqua" w:hAnsi="Book Antiqua"/>
          <w:i/>
          <w:iCs/>
          <w:noProof/>
          <w:sz w:val="24"/>
          <w:szCs w:val="24"/>
        </w:rPr>
        <w:t>Fiqih Minoritas Fiqh al-Aqliyat dan Evolusi Maqasid al- Syari’ah dari Konsep ke Pendekatan, cet. Ke-1</w:t>
      </w:r>
      <w:r w:rsidRPr="009410ED">
        <w:rPr>
          <w:rFonts w:ascii="Book Antiqua" w:hAnsi="Book Antiqua"/>
          <w:noProof/>
          <w:sz w:val="24"/>
          <w:szCs w:val="24"/>
        </w:rPr>
        <w:t>. Lkis.</w:t>
      </w:r>
    </w:p>
    <w:p w14:paraId="085626F9"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Antonio Cassssesse. (n.d.). </w:t>
      </w:r>
      <w:r w:rsidRPr="009410ED">
        <w:rPr>
          <w:rFonts w:ascii="Book Antiqua" w:hAnsi="Book Antiqua"/>
          <w:i/>
          <w:iCs/>
          <w:noProof/>
          <w:sz w:val="24"/>
          <w:szCs w:val="24"/>
        </w:rPr>
        <w:t>Hak Asasi Manusia di Dunia yang Berubah, yang diterjemahkan oleh: A. Rahman Zainuddin dari judul asli: Humn Rights in a Changing World</w:t>
      </w:r>
      <w:r w:rsidRPr="009410ED">
        <w:rPr>
          <w:rFonts w:ascii="Book Antiqua" w:hAnsi="Book Antiqua"/>
          <w:noProof/>
          <w:sz w:val="24"/>
          <w:szCs w:val="24"/>
        </w:rPr>
        <w:t>.</w:t>
      </w:r>
    </w:p>
    <w:p w14:paraId="6C21CC16"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Asafri Jaya Bakri. (1996). </w:t>
      </w:r>
      <w:r w:rsidRPr="009410ED">
        <w:rPr>
          <w:rFonts w:ascii="Book Antiqua" w:hAnsi="Book Antiqua"/>
          <w:i/>
          <w:iCs/>
          <w:noProof/>
          <w:sz w:val="24"/>
          <w:szCs w:val="24"/>
        </w:rPr>
        <w:t>Konsep Maqasid al-Syari’ah Menurut al-Syatibi</w:t>
      </w:r>
      <w:r w:rsidRPr="009410ED">
        <w:rPr>
          <w:rFonts w:ascii="Book Antiqua" w:hAnsi="Book Antiqua"/>
          <w:noProof/>
          <w:sz w:val="24"/>
          <w:szCs w:val="24"/>
        </w:rPr>
        <w:t>. PT. Raja Grafindo.</w:t>
      </w:r>
    </w:p>
    <w:p w14:paraId="679F5995"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Asplund, K. D. (2008). </w:t>
      </w:r>
      <w:r w:rsidRPr="009410ED">
        <w:rPr>
          <w:rFonts w:ascii="Book Antiqua" w:hAnsi="Book Antiqua"/>
          <w:i/>
          <w:iCs/>
          <w:noProof/>
          <w:sz w:val="24"/>
          <w:szCs w:val="24"/>
        </w:rPr>
        <w:t>Hukum Hak Asasi Manusia</w:t>
      </w:r>
      <w:r w:rsidRPr="009410ED">
        <w:rPr>
          <w:rFonts w:ascii="Book Antiqua" w:hAnsi="Book Antiqua"/>
          <w:noProof/>
          <w:sz w:val="24"/>
          <w:szCs w:val="24"/>
        </w:rPr>
        <w:t>. Pusham UII dan University of Oslo.</w:t>
      </w:r>
    </w:p>
    <w:p w14:paraId="673C910D"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asy-Syatibi. (2004). </w:t>
      </w:r>
      <w:r w:rsidRPr="009410ED">
        <w:rPr>
          <w:rFonts w:ascii="Book Antiqua" w:hAnsi="Book Antiqua"/>
          <w:i/>
          <w:iCs/>
          <w:noProof/>
          <w:sz w:val="24"/>
          <w:szCs w:val="24"/>
        </w:rPr>
        <w:t>Al-Muwāfaqāt fi U</w:t>
      </w:r>
      <w:r w:rsidRPr="009410ED">
        <w:rPr>
          <w:rFonts w:ascii="Cambria" w:hAnsi="Cambria" w:cs="Cambria"/>
          <w:i/>
          <w:iCs/>
          <w:noProof/>
          <w:sz w:val="24"/>
          <w:szCs w:val="24"/>
        </w:rPr>
        <w:t>ṣ</w:t>
      </w:r>
      <w:r w:rsidRPr="009410ED">
        <w:rPr>
          <w:rFonts w:ascii="Book Antiqua" w:hAnsi="Book Antiqua"/>
          <w:i/>
          <w:iCs/>
          <w:noProof/>
          <w:sz w:val="24"/>
          <w:szCs w:val="24"/>
        </w:rPr>
        <w:t>ul asy-Syarī‘ah</w:t>
      </w:r>
      <w:r w:rsidRPr="009410ED">
        <w:rPr>
          <w:rFonts w:ascii="Book Antiqua" w:hAnsi="Book Antiqua"/>
          <w:noProof/>
          <w:sz w:val="24"/>
          <w:szCs w:val="24"/>
        </w:rPr>
        <w:t>. Darul Kutub al-Ilmiyyah.</w:t>
      </w:r>
    </w:p>
    <w:p w14:paraId="19959D74"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Asy-Syā</w:t>
      </w:r>
      <w:r w:rsidRPr="009410ED">
        <w:rPr>
          <w:rFonts w:ascii="Cambria" w:hAnsi="Cambria" w:cs="Cambria"/>
          <w:noProof/>
          <w:sz w:val="24"/>
          <w:szCs w:val="24"/>
        </w:rPr>
        <w:t>ṭ</w:t>
      </w:r>
      <w:r w:rsidRPr="009410ED">
        <w:rPr>
          <w:rFonts w:ascii="Book Antiqua" w:hAnsi="Book Antiqua"/>
          <w:noProof/>
          <w:sz w:val="24"/>
          <w:szCs w:val="24"/>
        </w:rPr>
        <w:t xml:space="preserve">ibī. (2004). </w:t>
      </w:r>
      <w:r w:rsidRPr="009410ED">
        <w:rPr>
          <w:rFonts w:ascii="Book Antiqua" w:hAnsi="Book Antiqua"/>
          <w:i/>
          <w:iCs/>
          <w:noProof/>
          <w:sz w:val="24"/>
          <w:szCs w:val="24"/>
        </w:rPr>
        <w:t>Al-Muwāfaqāt fi U</w:t>
      </w:r>
      <w:r w:rsidRPr="009410ED">
        <w:rPr>
          <w:rFonts w:ascii="Cambria" w:hAnsi="Cambria" w:cs="Cambria"/>
          <w:i/>
          <w:iCs/>
          <w:noProof/>
          <w:sz w:val="24"/>
          <w:szCs w:val="24"/>
        </w:rPr>
        <w:t>ṣ</w:t>
      </w:r>
      <w:r w:rsidRPr="009410ED">
        <w:rPr>
          <w:rFonts w:ascii="Book Antiqua" w:hAnsi="Book Antiqua"/>
          <w:i/>
          <w:iCs/>
          <w:noProof/>
          <w:sz w:val="24"/>
          <w:szCs w:val="24"/>
        </w:rPr>
        <w:t>ul asy-Syarī‘ah</w:t>
      </w:r>
      <w:r w:rsidRPr="009410ED">
        <w:rPr>
          <w:rFonts w:ascii="Book Antiqua" w:hAnsi="Book Antiqua"/>
          <w:noProof/>
          <w:sz w:val="24"/>
          <w:szCs w:val="24"/>
        </w:rPr>
        <w:t>. Darul Kutub al-Ilmiyyah.</w:t>
      </w:r>
    </w:p>
    <w:p w14:paraId="1BC63D0A"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Diantha, I. M. P. (2016). </w:t>
      </w:r>
      <w:r w:rsidRPr="009410ED">
        <w:rPr>
          <w:rFonts w:ascii="Book Antiqua" w:hAnsi="Book Antiqua"/>
          <w:i/>
          <w:iCs/>
          <w:noProof/>
          <w:sz w:val="24"/>
          <w:szCs w:val="24"/>
        </w:rPr>
        <w:t>Metodologi Penelitian Hukum Normatif dalam Justifikasi Teori Hukum</w:t>
      </w:r>
      <w:r w:rsidRPr="009410ED">
        <w:rPr>
          <w:rFonts w:ascii="Book Antiqua" w:hAnsi="Book Antiqua"/>
          <w:noProof/>
          <w:sz w:val="24"/>
          <w:szCs w:val="24"/>
        </w:rPr>
        <w:t>. Prenada Media. https://books.google.co.id/books?id=-MpADwAAQBAJ</w:t>
      </w:r>
    </w:p>
    <w:p w14:paraId="1F207091"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Dr. Jonaedi Efendi, S. H. I. M. H., &amp; Prof. Dr. Johnny Ibrahim, S. H. S. E. M. M. M. H. (2018). </w:t>
      </w:r>
      <w:r w:rsidRPr="009410ED">
        <w:rPr>
          <w:rFonts w:ascii="Book Antiqua" w:hAnsi="Book Antiqua"/>
          <w:i/>
          <w:iCs/>
          <w:noProof/>
          <w:sz w:val="24"/>
          <w:szCs w:val="24"/>
        </w:rPr>
        <w:t>Metode Penelitian Hukum: Normatif dan Empiris</w:t>
      </w:r>
      <w:r w:rsidRPr="009410ED">
        <w:rPr>
          <w:rFonts w:ascii="Book Antiqua" w:hAnsi="Book Antiqua"/>
          <w:noProof/>
          <w:sz w:val="24"/>
          <w:szCs w:val="24"/>
        </w:rPr>
        <w:t>. Prenada Media. https://books.google.co.id/books?id=5OZeDwAAQBAJ</w:t>
      </w:r>
    </w:p>
    <w:p w14:paraId="3A8B2C8A"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Jimly Assdhiqqie. (1997). </w:t>
      </w:r>
      <w:r w:rsidRPr="009410ED">
        <w:rPr>
          <w:rFonts w:ascii="Book Antiqua" w:hAnsi="Book Antiqua"/>
          <w:i/>
          <w:iCs/>
          <w:noProof/>
          <w:sz w:val="24"/>
          <w:szCs w:val="24"/>
        </w:rPr>
        <w:t>Teori dan Aliran Penafsiran Hukum Tata Negara</w:t>
      </w:r>
      <w:r w:rsidRPr="009410ED">
        <w:rPr>
          <w:rFonts w:ascii="Book Antiqua" w:hAnsi="Book Antiqua"/>
          <w:noProof/>
          <w:sz w:val="24"/>
          <w:szCs w:val="24"/>
        </w:rPr>
        <w:t>. Indo Hill Co.</w:t>
      </w:r>
    </w:p>
    <w:p w14:paraId="08387703"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Jimly Assdhiqqie. (2011). </w:t>
      </w:r>
      <w:r w:rsidRPr="009410ED">
        <w:rPr>
          <w:rFonts w:ascii="Book Antiqua" w:hAnsi="Book Antiqua"/>
          <w:i/>
          <w:iCs/>
          <w:noProof/>
          <w:sz w:val="24"/>
          <w:szCs w:val="24"/>
        </w:rPr>
        <w:t>Pengantar Ilmu Hukum Tata Negara</w:t>
      </w:r>
      <w:r w:rsidRPr="009410ED">
        <w:rPr>
          <w:rFonts w:ascii="Book Antiqua" w:hAnsi="Book Antiqua"/>
          <w:noProof/>
          <w:sz w:val="24"/>
          <w:szCs w:val="24"/>
        </w:rPr>
        <w:t>. PT Raja Grafindo Persada.</w:t>
      </w:r>
    </w:p>
    <w:p w14:paraId="793A6F80"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Majda el-Muhtaj. (2009). </w:t>
      </w:r>
      <w:r w:rsidRPr="009410ED">
        <w:rPr>
          <w:rFonts w:ascii="Book Antiqua" w:hAnsi="Book Antiqua"/>
          <w:i/>
          <w:iCs/>
          <w:noProof/>
          <w:sz w:val="24"/>
          <w:szCs w:val="24"/>
        </w:rPr>
        <w:t>Hak Asasi Manusia dalam Konstitusi Indonesia: dari UUD 1945 sampai dengan Amandemen</w:t>
      </w:r>
      <w:r w:rsidRPr="009410ED">
        <w:rPr>
          <w:rFonts w:ascii="Book Antiqua" w:hAnsi="Book Antiqua"/>
          <w:noProof/>
          <w:sz w:val="24"/>
          <w:szCs w:val="24"/>
        </w:rPr>
        <w:t>. Kencana.</w:t>
      </w:r>
    </w:p>
    <w:p w14:paraId="51D4714B"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Muhammad Firdaus,  dkk. (2007). </w:t>
      </w:r>
      <w:r w:rsidRPr="009410ED">
        <w:rPr>
          <w:rFonts w:ascii="Book Antiqua" w:hAnsi="Book Antiqua"/>
          <w:i/>
          <w:iCs/>
          <w:noProof/>
          <w:sz w:val="24"/>
          <w:szCs w:val="24"/>
        </w:rPr>
        <w:t>Pembangunan Berbasis Hak Asasi Manusia</w:t>
      </w:r>
      <w:r w:rsidRPr="009410ED">
        <w:rPr>
          <w:i/>
          <w:iCs/>
          <w:noProof/>
          <w:sz w:val="24"/>
          <w:szCs w:val="24"/>
        </w:rPr>
        <w:t> </w:t>
      </w:r>
      <w:r w:rsidRPr="009410ED">
        <w:rPr>
          <w:rFonts w:ascii="Book Antiqua" w:hAnsi="Book Antiqua"/>
          <w:i/>
          <w:iCs/>
          <w:noProof/>
          <w:sz w:val="24"/>
          <w:szCs w:val="24"/>
        </w:rPr>
        <w:t>: Sebuah Panduan</w:t>
      </w:r>
      <w:r w:rsidRPr="009410ED">
        <w:rPr>
          <w:rFonts w:ascii="Book Antiqua" w:hAnsi="Book Antiqua"/>
          <w:noProof/>
          <w:sz w:val="24"/>
          <w:szCs w:val="24"/>
        </w:rPr>
        <w:t>. Komnas HAM.</w:t>
      </w:r>
    </w:p>
    <w:p w14:paraId="5E0B2462"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Mukti Fajar ND dan Yulianto Achmad. (2010). </w:t>
      </w:r>
      <w:r w:rsidRPr="009410ED">
        <w:rPr>
          <w:rFonts w:ascii="Book Antiqua" w:hAnsi="Book Antiqua"/>
          <w:i/>
          <w:iCs/>
          <w:noProof/>
          <w:sz w:val="24"/>
          <w:szCs w:val="24"/>
        </w:rPr>
        <w:t>Dualisme Penelitian Hukum Normatif dan Empiris</w:t>
      </w:r>
      <w:r w:rsidRPr="009410ED">
        <w:rPr>
          <w:rFonts w:ascii="Book Antiqua" w:hAnsi="Book Antiqua"/>
          <w:noProof/>
          <w:sz w:val="24"/>
          <w:szCs w:val="24"/>
        </w:rPr>
        <w:t>. Pustaka Pelajar.</w:t>
      </w:r>
    </w:p>
    <w:p w14:paraId="6C7FB125"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lastRenderedPageBreak/>
        <w:t xml:space="preserve">Muwaffiq Jufri. (2020). Potensi Penyetaraan Agama Dengan Aliran Kepercayaan Di Indonesia Kajian Putusan Mahkamah Konstitusi Nomor 97/PUU-XIV/2016. </w:t>
      </w:r>
      <w:r w:rsidRPr="009410ED">
        <w:rPr>
          <w:rFonts w:ascii="Book Antiqua" w:hAnsi="Book Antiqua"/>
          <w:i/>
          <w:iCs/>
          <w:noProof/>
          <w:sz w:val="24"/>
          <w:szCs w:val="24"/>
        </w:rPr>
        <w:t>Jurnal Jurnal Komisiyudisial</w:t>
      </w:r>
      <w:r w:rsidRPr="009410ED">
        <w:rPr>
          <w:rFonts w:ascii="Book Antiqua" w:hAnsi="Book Antiqua"/>
          <w:noProof/>
          <w:sz w:val="24"/>
          <w:szCs w:val="24"/>
        </w:rPr>
        <w:t>.</w:t>
      </w:r>
    </w:p>
    <w:p w14:paraId="79BBC7B5" w14:textId="0C77CAF7" w:rsid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Nashihin, H., Yahya, M. D., &amp; Aziz, N. (2020). </w:t>
      </w:r>
      <w:r w:rsidRPr="009410ED">
        <w:rPr>
          <w:rFonts w:ascii="Book Antiqua" w:hAnsi="Book Antiqua"/>
          <w:i/>
          <w:iCs/>
          <w:noProof/>
          <w:sz w:val="24"/>
          <w:szCs w:val="24"/>
        </w:rPr>
        <w:t>Morality and Expression of Religious Moderation in " Pecinan ”</w:t>
      </w:r>
      <w:r w:rsidRPr="009410ED">
        <w:rPr>
          <w:rFonts w:ascii="Book Antiqua" w:hAnsi="Book Antiqua"/>
          <w:noProof/>
          <w:sz w:val="24"/>
          <w:szCs w:val="24"/>
        </w:rPr>
        <w:t xml:space="preserve">. </w:t>
      </w:r>
      <w:r w:rsidRPr="009410ED">
        <w:rPr>
          <w:rFonts w:ascii="Book Antiqua" w:hAnsi="Book Antiqua"/>
          <w:i/>
          <w:iCs/>
          <w:noProof/>
          <w:sz w:val="24"/>
          <w:szCs w:val="24"/>
        </w:rPr>
        <w:t>Dalimunthe 2016</w:t>
      </w:r>
      <w:r w:rsidRPr="009410ED">
        <w:rPr>
          <w:rFonts w:ascii="Book Antiqua" w:hAnsi="Book Antiqua"/>
          <w:noProof/>
          <w:sz w:val="24"/>
          <w:szCs w:val="24"/>
        </w:rPr>
        <w:t>, 24158–24168.</w:t>
      </w:r>
    </w:p>
    <w:p w14:paraId="6AB22485" w14:textId="7B59EDF9" w:rsidR="009410ED" w:rsidRPr="009410ED" w:rsidRDefault="009410ED" w:rsidP="009410ED">
      <w:pPr>
        <w:widowControl w:val="0"/>
        <w:autoSpaceDE w:val="0"/>
        <w:autoSpaceDN w:val="0"/>
        <w:adjustRightInd w:val="0"/>
        <w:spacing w:after="200"/>
        <w:ind w:left="482" w:hanging="482"/>
        <w:jc w:val="both"/>
        <w:rPr>
          <w:noProof/>
          <w:sz w:val="24"/>
          <w:szCs w:val="24"/>
        </w:rPr>
      </w:pPr>
      <w:r w:rsidRPr="00276D0E">
        <w:rPr>
          <w:noProof/>
          <w:sz w:val="24"/>
          <w:szCs w:val="24"/>
        </w:rPr>
        <w:t xml:space="preserve">Nasihin, H., &amp; Puteri Anggita Dewi. (2019). Tradisi Islam Nusantara Perspektif Pendidikan Multikultural. </w:t>
      </w:r>
      <w:r w:rsidRPr="00276D0E">
        <w:rPr>
          <w:i/>
          <w:iCs/>
          <w:noProof/>
          <w:sz w:val="24"/>
          <w:szCs w:val="24"/>
        </w:rPr>
        <w:t>Islam Nusantara</w:t>
      </w:r>
      <w:r w:rsidRPr="00276D0E">
        <w:rPr>
          <w:noProof/>
          <w:sz w:val="24"/>
          <w:szCs w:val="24"/>
        </w:rPr>
        <w:t xml:space="preserve">, </w:t>
      </w:r>
      <w:r w:rsidRPr="00276D0E">
        <w:rPr>
          <w:i/>
          <w:iCs/>
          <w:noProof/>
          <w:sz w:val="24"/>
          <w:szCs w:val="24"/>
        </w:rPr>
        <w:t>03</w:t>
      </w:r>
      <w:r w:rsidRPr="00276D0E">
        <w:rPr>
          <w:noProof/>
          <w:sz w:val="24"/>
          <w:szCs w:val="24"/>
        </w:rPr>
        <w:t>(02), 417–438. https://jurnalnu.com/index.php/as/article/view/135</w:t>
      </w:r>
    </w:p>
    <w:p w14:paraId="33E960EB"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i/>
          <w:iCs/>
          <w:noProof/>
          <w:sz w:val="24"/>
          <w:szCs w:val="24"/>
        </w:rPr>
        <w:t>Putusan Mahkamah Konstitusi Nomor 97/PUU-XIV/2016</w:t>
      </w:r>
      <w:r w:rsidRPr="009410ED">
        <w:rPr>
          <w:rFonts w:ascii="Book Antiqua" w:hAnsi="Book Antiqua"/>
          <w:noProof/>
          <w:sz w:val="24"/>
          <w:szCs w:val="24"/>
        </w:rPr>
        <w:t>. (2016). Mahkamah Konstitusi Republik Indonesia.</w:t>
      </w:r>
    </w:p>
    <w:p w14:paraId="1B37DC15" w14:textId="612AB999" w:rsid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Qamar, N., Syarif, M., Busthami, D. S., Hidjaz, M. K., Aswari, A., Djanggih, H., &amp; Rezah, F. S. (2017). </w:t>
      </w:r>
      <w:r w:rsidRPr="009410ED">
        <w:rPr>
          <w:rFonts w:ascii="Book Antiqua" w:hAnsi="Book Antiqua"/>
          <w:i/>
          <w:iCs/>
          <w:noProof/>
          <w:sz w:val="24"/>
          <w:szCs w:val="24"/>
        </w:rPr>
        <w:t>Metode Penelitian Hukum (Legal Research Methods)</w:t>
      </w:r>
      <w:r w:rsidRPr="009410ED">
        <w:rPr>
          <w:rFonts w:ascii="Book Antiqua" w:hAnsi="Book Antiqua"/>
          <w:noProof/>
          <w:sz w:val="24"/>
          <w:szCs w:val="24"/>
        </w:rPr>
        <w:t>. CV. Social Politic Genius (SIGn). https://books.google.co.id/books?id=hfacDwAAQBAJ</w:t>
      </w:r>
    </w:p>
    <w:p w14:paraId="22761088" w14:textId="77777777" w:rsidR="009410ED" w:rsidRDefault="009410ED" w:rsidP="009410ED">
      <w:pPr>
        <w:widowControl w:val="0"/>
        <w:autoSpaceDE w:val="0"/>
        <w:autoSpaceDN w:val="0"/>
        <w:adjustRightInd w:val="0"/>
        <w:spacing w:after="200"/>
        <w:ind w:left="482" w:hanging="482"/>
        <w:jc w:val="both"/>
        <w:rPr>
          <w:noProof/>
          <w:sz w:val="24"/>
          <w:szCs w:val="24"/>
        </w:rPr>
      </w:pPr>
      <w:r w:rsidRPr="00276D0E">
        <w:rPr>
          <w:noProof/>
          <w:sz w:val="24"/>
          <w:szCs w:val="24"/>
        </w:rPr>
        <w:t xml:space="preserve">Syafi’ie, M. (2012). Instrumentasi Hukum Ham, Pembentukan Lembaga Perlindungan Ham Di Indonesia Dan Peran Mahkamah Konstitusi. </w:t>
      </w:r>
      <w:r w:rsidRPr="00276D0E">
        <w:rPr>
          <w:i/>
          <w:iCs/>
          <w:noProof/>
          <w:sz w:val="24"/>
          <w:szCs w:val="24"/>
        </w:rPr>
        <w:t>Jurnal Konstitusi</w:t>
      </w:r>
      <w:r w:rsidRPr="00276D0E">
        <w:rPr>
          <w:noProof/>
          <w:sz w:val="24"/>
          <w:szCs w:val="24"/>
        </w:rPr>
        <w:t xml:space="preserve">, </w:t>
      </w:r>
      <w:r w:rsidRPr="00276D0E">
        <w:rPr>
          <w:i/>
          <w:iCs/>
          <w:noProof/>
          <w:sz w:val="24"/>
          <w:szCs w:val="24"/>
        </w:rPr>
        <w:t>9</w:t>
      </w:r>
      <w:r w:rsidRPr="00276D0E">
        <w:rPr>
          <w:noProof/>
          <w:sz w:val="24"/>
          <w:szCs w:val="24"/>
        </w:rPr>
        <w:t>(4), 681–712</w:t>
      </w:r>
    </w:p>
    <w:p w14:paraId="3F1EFA53"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rPr>
      </w:pPr>
    </w:p>
    <w:p w14:paraId="6FA38742" w14:textId="44A49510" w:rsidR="009410ED" w:rsidRPr="00B56D4F" w:rsidRDefault="009410ED" w:rsidP="00FF00FB">
      <w:pPr>
        <w:widowControl w:val="0"/>
        <w:autoSpaceDE w:val="0"/>
        <w:autoSpaceDN w:val="0"/>
        <w:adjustRightInd w:val="0"/>
        <w:spacing w:after="200"/>
        <w:ind w:left="482" w:hanging="482"/>
        <w:jc w:val="both"/>
        <w:rPr>
          <w:rStyle w:val="Strong"/>
          <w:rFonts w:ascii="Book Antiqua" w:hAnsi="Book Antiqua"/>
          <w:sz w:val="24"/>
          <w:szCs w:val="24"/>
        </w:rPr>
      </w:pPr>
      <w:r>
        <w:rPr>
          <w:rStyle w:val="Strong"/>
          <w:rFonts w:ascii="Book Antiqua" w:hAnsi="Book Antiqua"/>
          <w:sz w:val="24"/>
          <w:szCs w:val="24"/>
        </w:rPr>
        <w:fldChar w:fldCharType="end"/>
      </w:r>
    </w:p>
    <w:sectPr w:rsidR="009410ED" w:rsidRPr="00B56D4F" w:rsidSect="00882EA9">
      <w:headerReference w:type="even" r:id="rId10"/>
      <w:headerReference w:type="default" r:id="rId11"/>
      <w:footerReference w:type="even" r:id="rId12"/>
      <w:footerReference w:type="default" r:id="rId13"/>
      <w:headerReference w:type="first" r:id="rId14"/>
      <w:footerReference w:type="first" r:id="rId15"/>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B33AD" w14:textId="77777777" w:rsidR="00BB2F7E" w:rsidRDefault="00BB2F7E">
      <w:r>
        <w:separator/>
      </w:r>
    </w:p>
  </w:endnote>
  <w:endnote w:type="continuationSeparator" w:id="0">
    <w:p w14:paraId="251CB387" w14:textId="77777777" w:rsidR="00BB2F7E" w:rsidRDefault="00BB2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raditional Arabic">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AC1DC" w14:textId="77777777" w:rsidR="00BB2F7E" w:rsidRDefault="00BB2F7E">
      <w:r>
        <w:separator/>
      </w:r>
    </w:p>
  </w:footnote>
  <w:footnote w:type="continuationSeparator" w:id="0">
    <w:p w14:paraId="554986B8" w14:textId="77777777" w:rsidR="00BB2F7E" w:rsidRDefault="00BB2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4"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15:restartNumberingAfterBreak="0">
    <w:nsid w:val="26891E64"/>
    <w:multiLevelType w:val="hybridMultilevel"/>
    <w:tmpl w:val="2ECA43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C0F10EF"/>
    <w:multiLevelType w:val="hybridMultilevel"/>
    <w:tmpl w:val="9C46D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C2021A"/>
    <w:multiLevelType w:val="multilevel"/>
    <w:tmpl w:val="B02E3FD6"/>
    <w:numStyleLink w:val="Style1"/>
  </w:abstractNum>
  <w:abstractNum w:abstractNumId="33"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5"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0"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1"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4"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5"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42529899">
    <w:abstractNumId w:val="39"/>
  </w:num>
  <w:num w:numId="2" w16cid:durableId="1453592354">
    <w:abstractNumId w:val="34"/>
  </w:num>
  <w:num w:numId="3" w16cid:durableId="2023118156">
    <w:abstractNumId w:val="43"/>
  </w:num>
  <w:num w:numId="4" w16cid:durableId="2073042443">
    <w:abstractNumId w:val="29"/>
  </w:num>
  <w:num w:numId="5" w16cid:durableId="816797365">
    <w:abstractNumId w:val="37"/>
  </w:num>
  <w:num w:numId="6" w16cid:durableId="315643607">
    <w:abstractNumId w:val="40"/>
  </w:num>
  <w:num w:numId="7" w16cid:durableId="1074006558">
    <w:abstractNumId w:val="38"/>
  </w:num>
  <w:num w:numId="8" w16cid:durableId="224877900">
    <w:abstractNumId w:val="35"/>
  </w:num>
  <w:num w:numId="9" w16cid:durableId="253393194">
    <w:abstractNumId w:val="27"/>
  </w:num>
  <w:num w:numId="10" w16cid:durableId="1619215103">
    <w:abstractNumId w:val="10"/>
  </w:num>
  <w:num w:numId="11" w16cid:durableId="2039506501">
    <w:abstractNumId w:val="9"/>
  </w:num>
  <w:num w:numId="12" w16cid:durableId="2116049601">
    <w:abstractNumId w:val="21"/>
  </w:num>
  <w:num w:numId="13" w16cid:durableId="1197736306">
    <w:abstractNumId w:val="12"/>
  </w:num>
  <w:num w:numId="14" w16cid:durableId="580218576">
    <w:abstractNumId w:val="23"/>
  </w:num>
  <w:num w:numId="15" w16cid:durableId="1128743109">
    <w:abstractNumId w:val="44"/>
  </w:num>
  <w:num w:numId="16" w16cid:durableId="1267695496">
    <w:abstractNumId w:val="25"/>
  </w:num>
  <w:num w:numId="17" w16cid:durableId="1982222342">
    <w:abstractNumId w:val="15"/>
  </w:num>
  <w:num w:numId="18" w16cid:durableId="1053195196">
    <w:abstractNumId w:val="1"/>
  </w:num>
  <w:num w:numId="19" w16cid:durableId="275866027">
    <w:abstractNumId w:val="2"/>
  </w:num>
  <w:num w:numId="20" w16cid:durableId="2084373918">
    <w:abstractNumId w:val="18"/>
  </w:num>
  <w:num w:numId="21" w16cid:durableId="1275407602">
    <w:abstractNumId w:val="11"/>
  </w:num>
  <w:num w:numId="22" w16cid:durableId="756513145">
    <w:abstractNumId w:val="3"/>
  </w:num>
  <w:num w:numId="23" w16cid:durableId="1030685688">
    <w:abstractNumId w:val="42"/>
  </w:num>
  <w:num w:numId="24" w16cid:durableId="17783241">
    <w:abstractNumId w:val="24"/>
  </w:num>
  <w:num w:numId="25" w16cid:durableId="649410362">
    <w:abstractNumId w:val="7"/>
  </w:num>
  <w:num w:numId="26" w16cid:durableId="1206524055">
    <w:abstractNumId w:val="22"/>
  </w:num>
  <w:num w:numId="27" w16cid:durableId="1442384904">
    <w:abstractNumId w:val="19"/>
  </w:num>
  <w:num w:numId="28" w16cid:durableId="1699165298">
    <w:abstractNumId w:val="33"/>
  </w:num>
  <w:num w:numId="29" w16cid:durableId="225460301">
    <w:abstractNumId w:val="45"/>
  </w:num>
  <w:num w:numId="30" w16cid:durableId="223300131">
    <w:abstractNumId w:val="17"/>
  </w:num>
  <w:num w:numId="31" w16cid:durableId="1412655228">
    <w:abstractNumId w:val="14"/>
  </w:num>
  <w:num w:numId="32" w16cid:durableId="1514831717">
    <w:abstractNumId w:val="28"/>
  </w:num>
  <w:num w:numId="33" w16cid:durableId="1279027034">
    <w:abstractNumId w:val="41"/>
  </w:num>
  <w:num w:numId="34" w16cid:durableId="2143882434">
    <w:abstractNumId w:val="0"/>
  </w:num>
  <w:num w:numId="35" w16cid:durableId="1548759659">
    <w:abstractNumId w:val="8"/>
  </w:num>
  <w:num w:numId="36" w16cid:durableId="1990746313">
    <w:abstractNumId w:val="6"/>
  </w:num>
  <w:num w:numId="37" w16cid:durableId="882402452">
    <w:abstractNumId w:val="26"/>
  </w:num>
  <w:num w:numId="38" w16cid:durableId="1932278810">
    <w:abstractNumId w:val="30"/>
  </w:num>
  <w:num w:numId="39" w16cid:durableId="1816725964">
    <w:abstractNumId w:val="5"/>
  </w:num>
  <w:num w:numId="40" w16cid:durableId="1445077820">
    <w:abstractNumId w:val="36"/>
  </w:num>
  <w:num w:numId="41" w16cid:durableId="1944846786">
    <w:abstractNumId w:val="13"/>
  </w:num>
  <w:num w:numId="42" w16cid:durableId="1284848637">
    <w:abstractNumId w:val="20"/>
  </w:num>
  <w:num w:numId="43" w16cid:durableId="597256206">
    <w:abstractNumId w:val="32"/>
  </w:num>
  <w:num w:numId="44" w16cid:durableId="1029791779">
    <w:abstractNumId w:val="4"/>
  </w:num>
  <w:num w:numId="45" w16cid:durableId="1233195387">
    <w:abstractNumId w:val="16"/>
  </w:num>
  <w:num w:numId="46" w16cid:durableId="1241527909">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2D6F"/>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2D13"/>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19D1"/>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2F9"/>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4109"/>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67B"/>
    <w:rsid w:val="00866E4F"/>
    <w:rsid w:val="0087156B"/>
    <w:rsid w:val="00872D7E"/>
    <w:rsid w:val="00874965"/>
    <w:rsid w:val="008754E6"/>
    <w:rsid w:val="0087776F"/>
    <w:rsid w:val="00877B15"/>
    <w:rsid w:val="008805CF"/>
    <w:rsid w:val="0088280A"/>
    <w:rsid w:val="00882EA9"/>
    <w:rsid w:val="00883C52"/>
    <w:rsid w:val="00883EB7"/>
    <w:rsid w:val="00891446"/>
    <w:rsid w:val="00891A53"/>
    <w:rsid w:val="00892C9F"/>
    <w:rsid w:val="00892EA5"/>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0ED"/>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1A3A"/>
    <w:rsid w:val="00B34812"/>
    <w:rsid w:val="00B357AE"/>
    <w:rsid w:val="00B37E57"/>
    <w:rsid w:val="00B42FA5"/>
    <w:rsid w:val="00B47C95"/>
    <w:rsid w:val="00B47F3E"/>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2F7E"/>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987"/>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C28C4"/>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53D1"/>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EB8"/>
    <w:rsid w:val="00FC5C43"/>
    <w:rsid w:val="00FC7927"/>
    <w:rsid w:val="00FD1598"/>
    <w:rsid w:val="00FD1AD5"/>
    <w:rsid w:val="00FD3100"/>
    <w:rsid w:val="00FD576E"/>
    <w:rsid w:val="00FD596B"/>
    <w:rsid w:val="00FD5E90"/>
    <w:rsid w:val="00FE0F98"/>
    <w:rsid w:val="00FE58CC"/>
    <w:rsid w:val="00FE67C1"/>
    <w:rsid w:val="00FE75A9"/>
    <w:rsid w:val="00FF00FB"/>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customStyle="1" w:styleId="HTMLPreformattedChar">
    <w:name w:val="HTML Preformatted Char"/>
    <w:basedOn w:val="DefaultParagraphFont"/>
    <w:link w:val="HTMLPreformatted"/>
    <w:uiPriority w:val="99"/>
    <w:rsid w:val="00FF00FB"/>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idinlatua11@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1C552-D640-446C-BCFA-529BB589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1</TotalTime>
  <Pages>15</Pages>
  <Words>6026</Words>
  <Characters>49363</Characters>
  <Application>Microsoft Office Word</Application>
  <DocSecurity>0</DocSecurity>
  <Lines>411</Lines>
  <Paragraphs>110</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55279</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mcnxcv172423510@outlook.com</cp:lastModifiedBy>
  <cp:revision>2</cp:revision>
  <cp:lastPrinted>2016-10-04T09:41:00Z</cp:lastPrinted>
  <dcterms:created xsi:type="dcterms:W3CDTF">2022-12-23T23:46:00Z</dcterms:created>
  <dcterms:modified xsi:type="dcterms:W3CDTF">2022-12-23T23:46:00Z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c348e94b-4ff7-3646-9ceb-78cd9108fc48</vt:lpwstr>
  </property>
  <property fmtid="{D5CDD505-2E9C-101B-9397-08002B2CF9AE}" pid="4" name="Mendeley Citation Style_1">
    <vt:lpwstr>http://www.zotero.org/styles/apa</vt:lpwstr>
  </property>
</Properties>
</file>