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93A01F" w14:textId="74E69CC4" w:rsidR="00F63E20" w:rsidRPr="00B56D4F" w:rsidRDefault="00730DF1" w:rsidP="00F63E20">
      <w:pPr>
        <w:jc w:val="center"/>
        <w:rPr>
          <w:rFonts w:ascii="Book Antiqua" w:hAnsi="Book Antiqua"/>
          <w:b/>
          <w:sz w:val="24"/>
          <w:szCs w:val="24"/>
          <w:lang w:val="id-ID"/>
        </w:rPr>
      </w:pPr>
      <w:r>
        <w:rPr>
          <w:rFonts w:ascii="Book Antiqua" w:hAnsi="Book Antiqua"/>
          <w:b/>
          <w:sz w:val="24"/>
          <w:szCs w:val="24"/>
        </w:rPr>
        <w:t>Legal Review of the Role of the Ministry of Finance in Filing Bankruptcy Applications Against State-Owned Bankruptcy Debtors</w:t>
      </w:r>
    </w:p>
    <w:p w14:paraId="03D1044E" w14:textId="77777777" w:rsidR="00904D6D" w:rsidRPr="00B56D4F" w:rsidRDefault="00904D6D" w:rsidP="00DB3F2B">
      <w:pPr>
        <w:jc w:val="center"/>
        <w:rPr>
          <w:rFonts w:ascii="Book Antiqua" w:hAnsi="Book Antiqua"/>
          <w:b/>
          <w:bCs/>
          <w:sz w:val="24"/>
          <w:szCs w:val="24"/>
        </w:rPr>
      </w:pPr>
    </w:p>
    <w:p w14:paraId="049EE42E" w14:textId="2C56E1AE" w:rsidR="00904D6D" w:rsidRPr="00B56D4F" w:rsidRDefault="00730DF1" w:rsidP="00DB3F2B">
      <w:pPr>
        <w:jc w:val="center"/>
        <w:rPr>
          <w:rFonts w:ascii="Book Antiqua" w:hAnsi="Book Antiqua"/>
          <w:b/>
          <w:bCs/>
          <w:sz w:val="24"/>
          <w:szCs w:val="24"/>
          <w:vertAlign w:val="superscript"/>
        </w:rPr>
      </w:pPr>
      <w:r>
        <w:rPr>
          <w:rFonts w:ascii="Book Antiqua" w:hAnsi="Book Antiqua"/>
          <w:b/>
          <w:bCs/>
          <w:sz w:val="24"/>
          <w:szCs w:val="24"/>
        </w:rPr>
        <w:t xml:space="preserve">Dios Ferdian Harefa </w:t>
      </w:r>
      <w:r w:rsidR="00E873C0" w:rsidRPr="00B56D4F">
        <w:rPr>
          <w:rFonts w:ascii="Book Antiqua" w:hAnsi="Book Antiqua"/>
          <w:b/>
          <w:bCs/>
          <w:sz w:val="24"/>
          <w:szCs w:val="24"/>
          <w:vertAlign w:val="superscript"/>
        </w:rPr>
        <w:t xml:space="preserve">1 </w:t>
      </w:r>
      <w:r w:rsidR="00E873C0" w:rsidRPr="00B56D4F">
        <w:rPr>
          <w:rFonts w:ascii="Book Antiqua" w:hAnsi="Book Antiqua"/>
          <w:b/>
          <w:bCs/>
          <w:sz w:val="24"/>
          <w:szCs w:val="24"/>
        </w:rPr>
        <w:t xml:space="preserve">, Muh. Afif Mahfud </w:t>
      </w:r>
      <w:r w:rsidR="00E873C0" w:rsidRPr="00B56D4F">
        <w:rPr>
          <w:rFonts w:ascii="Book Antiqua" w:hAnsi="Book Antiqua"/>
          <w:b/>
          <w:bCs/>
          <w:sz w:val="24"/>
          <w:szCs w:val="24"/>
          <w:vertAlign w:val="superscript"/>
        </w:rPr>
        <w:t>2</w:t>
      </w:r>
    </w:p>
    <w:p w14:paraId="5EA462E5" w14:textId="4391C00A" w:rsidR="0096558F" w:rsidRPr="00C62205" w:rsidRDefault="00CB1AC1" w:rsidP="00DB3F2B">
      <w:pPr>
        <w:jc w:val="center"/>
        <w:rPr>
          <w:rFonts w:ascii="Book Antiqua" w:hAnsi="Book Antiqua"/>
          <w:bCs/>
          <w:sz w:val="24"/>
          <w:szCs w:val="24"/>
          <w:lang w:val="es-CO"/>
        </w:rPr>
      </w:pPr>
      <w:hyperlink r:id="rId9" w:history="1">
        <w:r w:rsidR="00C62205" w:rsidRPr="0031134F">
          <w:rPr>
            <w:rStyle w:val="Hyperlink"/>
            <w:rFonts w:ascii="Book Antiqua" w:hAnsi="Book Antiqua"/>
            <w:bCs/>
            <w:sz w:val="24"/>
            <w:szCs w:val="24"/>
            <w:lang w:val="es-CO"/>
          </w:rPr>
          <w:t>harefadios@gmail.com</w:t>
        </w:r>
        <w:r w:rsidR="00C62205" w:rsidRPr="0031134F">
          <w:rPr>
            <w:rStyle w:val="Hyperlink"/>
            <w:rFonts w:ascii="Book Antiqua" w:hAnsi="Book Antiqua"/>
            <w:bCs/>
            <w:sz w:val="24"/>
            <w:szCs w:val="24"/>
            <w:vertAlign w:val="superscript"/>
            <w:lang w:val="es-CO"/>
          </w:rPr>
          <w:t>1</w:t>
        </w:r>
      </w:hyperlink>
      <w:r w:rsidR="00340DCC">
        <w:rPr>
          <w:rFonts w:ascii="Book Antiqua" w:hAnsi="Book Antiqua"/>
          <w:bCs/>
          <w:sz w:val="24"/>
          <w:szCs w:val="24"/>
          <w:lang w:val="es-CO"/>
        </w:rPr>
        <w:t xml:space="preserve">, </w:t>
      </w:r>
      <w:r w:rsidR="00C62205">
        <w:rPr>
          <w:rFonts w:ascii="Book Antiqua" w:hAnsi="Book Antiqua"/>
          <w:bCs/>
          <w:sz w:val="24"/>
          <w:szCs w:val="24"/>
          <w:lang w:val="es-CO"/>
        </w:rPr>
        <w:t>afifmahfud4@gmail.com</w:t>
      </w:r>
    </w:p>
    <w:p w14:paraId="6372CF25" w14:textId="2207866C" w:rsidR="007637F6" w:rsidRPr="00B56D4F" w:rsidRDefault="00E873C0" w:rsidP="00DB3F2B">
      <w:pPr>
        <w:jc w:val="center"/>
        <w:rPr>
          <w:rFonts w:ascii="Book Antiqua" w:hAnsi="Book Antiqua"/>
          <w:bCs/>
          <w:sz w:val="24"/>
          <w:szCs w:val="24"/>
          <w:lang w:val="id-ID"/>
        </w:rPr>
      </w:pPr>
      <w:r w:rsidRPr="00B56D4F">
        <w:rPr>
          <w:rFonts w:ascii="Book Antiqua" w:hAnsi="Book Antiqua"/>
          <w:bCs/>
          <w:sz w:val="24"/>
          <w:szCs w:val="24"/>
          <w:vertAlign w:val="superscript"/>
        </w:rPr>
        <w:t xml:space="preserve">1 </w:t>
      </w:r>
      <w:r w:rsidR="00F63E20" w:rsidRPr="00B56D4F">
        <w:rPr>
          <w:rFonts w:ascii="Book Antiqua" w:hAnsi="Book Antiqua"/>
          <w:bCs/>
          <w:sz w:val="24"/>
          <w:szCs w:val="24"/>
          <w:lang w:val="id-ID"/>
        </w:rPr>
        <w:t>Faculty of Law,</w:t>
      </w:r>
      <w:r w:rsidR="00340DCC">
        <w:rPr>
          <w:rFonts w:ascii="Book Antiqua" w:hAnsi="Book Antiqua"/>
          <w:bCs/>
          <w:sz w:val="24"/>
          <w:szCs w:val="24"/>
          <w:lang w:val="en-US"/>
        </w:rPr>
        <w:t xml:space="preserve"> </w:t>
      </w:r>
      <w:r w:rsidR="003939D7">
        <w:rPr>
          <w:rFonts w:ascii="Book Antiqua" w:hAnsi="Book Antiqua"/>
          <w:bCs/>
          <w:sz w:val="24"/>
          <w:szCs w:val="24"/>
          <w:lang w:val="en-US"/>
        </w:rPr>
        <w:t>Master Of Law</w:t>
      </w:r>
      <w:r w:rsidR="00340DCC">
        <w:rPr>
          <w:rFonts w:ascii="Book Antiqua" w:hAnsi="Book Antiqua"/>
          <w:bCs/>
          <w:sz w:val="24"/>
          <w:szCs w:val="24"/>
          <w:lang w:val="en-US"/>
        </w:rPr>
        <w:t>,</w:t>
      </w:r>
      <w:r w:rsidR="00F63E20" w:rsidRPr="00B56D4F">
        <w:rPr>
          <w:rFonts w:ascii="Book Antiqua" w:hAnsi="Book Antiqua"/>
          <w:bCs/>
          <w:sz w:val="24"/>
          <w:szCs w:val="24"/>
          <w:lang w:val="id-ID"/>
        </w:rPr>
        <w:t xml:space="preserve"> </w:t>
      </w:r>
      <w:r w:rsidR="00340DCC">
        <w:rPr>
          <w:rFonts w:ascii="Book Antiqua" w:hAnsi="Book Antiqua"/>
          <w:bCs/>
          <w:sz w:val="24"/>
          <w:szCs w:val="24"/>
        </w:rPr>
        <w:t>Diponegoro University</w:t>
      </w:r>
      <w:r w:rsidR="00EE5A23" w:rsidRPr="00B56D4F">
        <w:rPr>
          <w:rFonts w:ascii="Book Antiqua" w:hAnsi="Book Antiqua"/>
          <w:bCs/>
          <w:sz w:val="24"/>
          <w:szCs w:val="24"/>
          <w:lang w:val="id-ID"/>
        </w:rPr>
        <w:t xml:space="preserve">, </w:t>
      </w:r>
      <w:r w:rsidR="00730DF1">
        <w:rPr>
          <w:rFonts w:ascii="Book Antiqua" w:hAnsi="Book Antiqua"/>
          <w:bCs/>
          <w:sz w:val="24"/>
          <w:szCs w:val="24"/>
        </w:rPr>
        <w:t xml:space="preserve">Semarang </w:t>
      </w:r>
      <w:r w:rsidR="00F63E20" w:rsidRPr="00B56D4F">
        <w:rPr>
          <w:rFonts w:ascii="Book Antiqua" w:hAnsi="Book Antiqua"/>
          <w:bCs/>
          <w:sz w:val="24"/>
          <w:szCs w:val="24"/>
          <w:lang w:val="id-ID"/>
        </w:rPr>
        <w:t>, Indonesia.</w:t>
      </w:r>
    </w:p>
    <w:p w14:paraId="4681A41E" w14:textId="44EFE9FA" w:rsidR="00EE5A23" w:rsidRPr="00B56D4F" w:rsidRDefault="00E873C0" w:rsidP="006D1334">
      <w:pPr>
        <w:jc w:val="center"/>
        <w:rPr>
          <w:rFonts w:ascii="Book Antiqua" w:hAnsi="Book Antiqua"/>
          <w:bCs/>
          <w:sz w:val="24"/>
          <w:szCs w:val="24"/>
          <w:lang w:val="id-ID"/>
        </w:rPr>
      </w:pPr>
      <w:r w:rsidRPr="00B56D4F">
        <w:rPr>
          <w:rFonts w:ascii="Book Antiqua" w:hAnsi="Book Antiqua"/>
          <w:bCs/>
          <w:sz w:val="24"/>
          <w:szCs w:val="24"/>
          <w:vertAlign w:val="superscript"/>
        </w:rPr>
        <w:t xml:space="preserve">2 </w:t>
      </w:r>
      <w:r w:rsidR="00F63E20" w:rsidRPr="00B56D4F">
        <w:rPr>
          <w:rFonts w:ascii="Book Antiqua" w:hAnsi="Book Antiqua"/>
          <w:bCs/>
          <w:sz w:val="24"/>
          <w:szCs w:val="24"/>
          <w:lang w:val="id-ID"/>
        </w:rPr>
        <w:t>Faculty of Law,</w:t>
      </w:r>
      <w:r w:rsidR="00340DCC" w:rsidRPr="00340DCC">
        <w:rPr>
          <w:rFonts w:ascii="Book Antiqua" w:hAnsi="Book Antiqua"/>
          <w:bCs/>
          <w:sz w:val="24"/>
          <w:szCs w:val="24"/>
          <w:lang w:val="en-US"/>
        </w:rPr>
        <w:t xml:space="preserve"> </w:t>
      </w:r>
      <w:r w:rsidR="003939D7">
        <w:rPr>
          <w:rFonts w:ascii="Book Antiqua" w:hAnsi="Book Antiqua"/>
          <w:bCs/>
          <w:sz w:val="24"/>
          <w:szCs w:val="24"/>
          <w:lang w:val="en-US"/>
        </w:rPr>
        <w:t>Master Of Law</w:t>
      </w:r>
      <w:r w:rsidR="00340DCC">
        <w:rPr>
          <w:rFonts w:ascii="Book Antiqua" w:hAnsi="Book Antiqua"/>
          <w:bCs/>
          <w:sz w:val="24"/>
          <w:szCs w:val="24"/>
          <w:lang w:val="en-US"/>
        </w:rPr>
        <w:t>,</w:t>
      </w:r>
      <w:r w:rsidR="00F63E20" w:rsidRPr="00B56D4F">
        <w:rPr>
          <w:rFonts w:ascii="Book Antiqua" w:hAnsi="Book Antiqua"/>
          <w:bCs/>
          <w:sz w:val="24"/>
          <w:szCs w:val="24"/>
          <w:lang w:val="id-ID"/>
        </w:rPr>
        <w:t xml:space="preserve"> </w:t>
      </w:r>
      <w:r w:rsidRPr="00B56D4F">
        <w:rPr>
          <w:rFonts w:ascii="Book Antiqua" w:hAnsi="Book Antiqua"/>
          <w:bCs/>
          <w:sz w:val="24"/>
          <w:szCs w:val="24"/>
        </w:rPr>
        <w:t xml:space="preserve">Diponegoro University, Semarang </w:t>
      </w:r>
      <w:r w:rsidR="00F63E20" w:rsidRPr="00B56D4F">
        <w:rPr>
          <w:rFonts w:ascii="Book Antiqua" w:hAnsi="Book Antiqua"/>
          <w:bCs/>
          <w:sz w:val="24"/>
          <w:szCs w:val="24"/>
          <w:lang w:val="id-ID"/>
        </w:rPr>
        <w:t>, Indonesia.</w:t>
      </w:r>
    </w:p>
    <w:p w14:paraId="7681FF64" w14:textId="77777777" w:rsidR="00DB3F2B" w:rsidRPr="00B56D4F" w:rsidRDefault="00DB3F2B" w:rsidP="00DB3F2B">
      <w:pPr>
        <w:jc w:val="center"/>
        <w:rPr>
          <w:rFonts w:ascii="Book Antiqua" w:hAnsi="Book Antiqua"/>
          <w:b/>
          <w:bCs/>
          <w:sz w:val="24"/>
          <w:szCs w:val="24"/>
          <w:lang w:val="id-ID"/>
        </w:rPr>
      </w:pPr>
    </w:p>
    <w:tbl>
      <w:tblPr>
        <w:tblW w:w="9639" w:type="dxa"/>
        <w:tblInd w:w="108" w:type="dxa"/>
        <w:tblLayout w:type="fixed"/>
        <w:tblLook w:val="04A0" w:firstRow="1" w:lastRow="0" w:firstColumn="1" w:lastColumn="0" w:noHBand="0" w:noVBand="1"/>
      </w:tblPr>
      <w:tblGrid>
        <w:gridCol w:w="2682"/>
        <w:gridCol w:w="338"/>
        <w:gridCol w:w="6619"/>
      </w:tblGrid>
      <w:tr w:rsidR="00B56D4F" w:rsidRPr="00B56D4F" w14:paraId="358164A4" w14:textId="77777777" w:rsidTr="006A277B">
        <w:tc>
          <w:tcPr>
            <w:tcW w:w="2682" w:type="dxa"/>
            <w:tcBorders>
              <w:top w:val="single" w:sz="4" w:space="0" w:color="auto"/>
              <w:bottom w:val="single" w:sz="4" w:space="0" w:color="auto"/>
            </w:tcBorders>
            <w:shd w:val="clear" w:color="auto" w:fill="auto"/>
          </w:tcPr>
          <w:p w14:paraId="742FA021" w14:textId="4DB845A2" w:rsidR="00E851F1" w:rsidRPr="000102E1" w:rsidRDefault="006D1334" w:rsidP="00DB3F2B">
            <w:pPr>
              <w:rPr>
                <w:rFonts w:ascii="Book Antiqua" w:hAnsi="Book Antiqua"/>
                <w:b/>
                <w:bCs/>
                <w:i/>
                <w:iCs/>
                <w:sz w:val="24"/>
                <w:szCs w:val="24"/>
              </w:rPr>
            </w:pPr>
            <w:r w:rsidRPr="00B56D4F">
              <w:rPr>
                <w:rFonts w:ascii="Book Antiqua" w:hAnsi="Book Antiqua"/>
                <w:b/>
                <w:bCs/>
                <w:i/>
                <w:iCs/>
                <w:sz w:val="24"/>
                <w:szCs w:val="24"/>
                <w:lang w:val="id-ID"/>
              </w:rPr>
              <w:t>Article Info</w:t>
            </w:r>
          </w:p>
        </w:tc>
        <w:tc>
          <w:tcPr>
            <w:tcW w:w="338" w:type="dxa"/>
          </w:tcPr>
          <w:p w14:paraId="621EF51E" w14:textId="77777777" w:rsidR="00E851F1" w:rsidRPr="00B56D4F" w:rsidRDefault="00E851F1" w:rsidP="00DB3F2B">
            <w:pPr>
              <w:rPr>
                <w:rFonts w:ascii="Book Antiqua" w:hAnsi="Book Antiqua"/>
                <w:b/>
                <w:bCs/>
                <w:i/>
                <w:iCs/>
                <w:sz w:val="24"/>
                <w:szCs w:val="24"/>
                <w:lang w:val="id-ID"/>
              </w:rPr>
            </w:pPr>
          </w:p>
        </w:tc>
        <w:tc>
          <w:tcPr>
            <w:tcW w:w="6619" w:type="dxa"/>
            <w:tcBorders>
              <w:top w:val="single" w:sz="4" w:space="0" w:color="auto"/>
              <w:bottom w:val="single" w:sz="4" w:space="0" w:color="auto"/>
            </w:tcBorders>
            <w:shd w:val="clear" w:color="auto" w:fill="auto"/>
          </w:tcPr>
          <w:p w14:paraId="58AE65BA" w14:textId="18E3F6B5" w:rsidR="00C62205" w:rsidRPr="00C62205" w:rsidRDefault="00E851F1" w:rsidP="00DB3F2B">
            <w:pPr>
              <w:rPr>
                <w:rFonts w:ascii="Book Antiqua" w:hAnsi="Book Antiqua"/>
                <w:b/>
                <w:bCs/>
                <w:i/>
                <w:iCs/>
                <w:sz w:val="24"/>
                <w:szCs w:val="24"/>
                <w:lang w:val="en-US"/>
              </w:rPr>
            </w:pPr>
            <w:r w:rsidRPr="00B56D4F">
              <w:rPr>
                <w:rFonts w:ascii="Book Antiqua" w:hAnsi="Book Antiqua"/>
                <w:b/>
                <w:bCs/>
                <w:i/>
                <w:iCs/>
                <w:sz w:val="24"/>
                <w:szCs w:val="24"/>
                <w:lang w:val="id-ID"/>
              </w:rPr>
              <w:t>Abstract</w:t>
            </w:r>
          </w:p>
        </w:tc>
      </w:tr>
      <w:tr w:rsidR="00B56D4F" w:rsidRPr="00B56D4F" w14:paraId="1EA70136" w14:textId="77777777" w:rsidTr="00C62205">
        <w:trPr>
          <w:trHeight w:val="11029"/>
        </w:trPr>
        <w:tc>
          <w:tcPr>
            <w:tcW w:w="2682" w:type="dxa"/>
            <w:tcBorders>
              <w:top w:val="single" w:sz="4" w:space="0" w:color="auto"/>
            </w:tcBorders>
            <w:shd w:val="clear" w:color="auto" w:fill="D9D9D9"/>
          </w:tcPr>
          <w:p w14:paraId="3FFEB9C6" w14:textId="4E972302" w:rsidR="00E851F1" w:rsidRPr="00B56D4F" w:rsidRDefault="00F63E20"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Received:</w:t>
            </w:r>
          </w:p>
          <w:p w14:paraId="2A29C4BC" w14:textId="41286658" w:rsidR="00E851F1" w:rsidRPr="00B56D4F" w:rsidRDefault="006D1334"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Revised:</w:t>
            </w:r>
          </w:p>
          <w:p w14:paraId="1F6D380A" w14:textId="0280787E" w:rsidR="00E851F1" w:rsidRPr="00B56D4F" w:rsidRDefault="006D1334" w:rsidP="00DB3F2B">
            <w:pPr>
              <w:tabs>
                <w:tab w:val="left" w:pos="330"/>
              </w:tabs>
              <w:rPr>
                <w:rFonts w:ascii="Book Antiqua" w:hAnsi="Book Antiqua"/>
                <w:bCs/>
                <w:i/>
                <w:iCs/>
                <w:sz w:val="24"/>
                <w:szCs w:val="24"/>
                <w:lang w:val="id-ID"/>
              </w:rPr>
            </w:pPr>
            <w:r w:rsidRPr="00B56D4F">
              <w:rPr>
                <w:rFonts w:ascii="Book Antiqua" w:hAnsi="Book Antiqua"/>
                <w:bCs/>
                <w:i/>
                <w:iCs/>
                <w:sz w:val="24"/>
                <w:szCs w:val="24"/>
                <w:lang w:val="id-ID"/>
              </w:rPr>
              <w:t>Accepted:</w:t>
            </w:r>
          </w:p>
          <w:p w14:paraId="3C0BA602" w14:textId="77777777" w:rsidR="00E851F1" w:rsidRPr="00B56D4F" w:rsidRDefault="00E851F1" w:rsidP="00DB3F2B">
            <w:pPr>
              <w:tabs>
                <w:tab w:val="left" w:pos="330"/>
              </w:tabs>
              <w:rPr>
                <w:rFonts w:ascii="Book Antiqua" w:hAnsi="Book Antiqua"/>
                <w:b/>
                <w:bCs/>
                <w:i/>
                <w:iCs/>
                <w:sz w:val="24"/>
                <w:szCs w:val="24"/>
                <w:lang w:val="id-ID"/>
              </w:rPr>
            </w:pPr>
          </w:p>
          <w:p w14:paraId="25EC746B" w14:textId="77777777" w:rsidR="007F76FD" w:rsidRPr="00B56D4F" w:rsidRDefault="00BD6EB6" w:rsidP="00DB3F2B">
            <w:pPr>
              <w:tabs>
                <w:tab w:val="left" w:pos="330"/>
              </w:tabs>
              <w:rPr>
                <w:rFonts w:ascii="Book Antiqua" w:hAnsi="Book Antiqua"/>
                <w:b/>
                <w:bCs/>
                <w:i/>
                <w:iCs/>
                <w:sz w:val="24"/>
                <w:szCs w:val="24"/>
                <w:lang w:val="id-ID"/>
              </w:rPr>
            </w:pPr>
            <w:r w:rsidRPr="00B56D4F">
              <w:rPr>
                <w:rFonts w:ascii="Book Antiqua" w:hAnsi="Book Antiqua"/>
                <w:b/>
                <w:bCs/>
                <w:i/>
                <w:iCs/>
                <w:sz w:val="24"/>
                <w:szCs w:val="24"/>
                <w:lang w:val="id-ID"/>
              </w:rPr>
              <w:t>Keywords:</w:t>
            </w:r>
          </w:p>
          <w:p w14:paraId="7B3AF09A" w14:textId="29D35D7F" w:rsidR="007F76FD" w:rsidRPr="00B56D4F" w:rsidRDefault="000102E1" w:rsidP="00E27542">
            <w:pPr>
              <w:tabs>
                <w:tab w:val="left" w:pos="330"/>
              </w:tabs>
              <w:rPr>
                <w:rFonts w:ascii="Book Antiqua" w:hAnsi="Book Antiqua"/>
                <w:bCs/>
                <w:i/>
                <w:iCs/>
                <w:sz w:val="24"/>
                <w:szCs w:val="24"/>
              </w:rPr>
            </w:pPr>
            <w:r>
              <w:rPr>
                <w:rFonts w:ascii="Book Antiqua" w:hAnsi="Book Antiqua"/>
                <w:i/>
                <w:sz w:val="24"/>
                <w:szCs w:val="24"/>
              </w:rPr>
              <w:t>Bankruptcy, minister of finance.</w:t>
            </w:r>
          </w:p>
        </w:tc>
        <w:tc>
          <w:tcPr>
            <w:tcW w:w="338" w:type="dxa"/>
          </w:tcPr>
          <w:p w14:paraId="1F2D4BF1" w14:textId="77777777" w:rsidR="00E851F1" w:rsidRPr="00B56D4F" w:rsidRDefault="00E851F1" w:rsidP="00DB3F2B">
            <w:pPr>
              <w:jc w:val="both"/>
              <w:rPr>
                <w:rFonts w:ascii="Book Antiqua" w:hAnsi="Book Antiqua"/>
                <w:i/>
                <w:sz w:val="24"/>
                <w:szCs w:val="24"/>
                <w:lang w:val="id-ID"/>
              </w:rPr>
            </w:pPr>
          </w:p>
        </w:tc>
        <w:tc>
          <w:tcPr>
            <w:tcW w:w="6619" w:type="dxa"/>
            <w:tcBorders>
              <w:top w:val="single" w:sz="4" w:space="0" w:color="auto"/>
              <w:bottom w:val="single" w:sz="4" w:space="0" w:color="auto"/>
            </w:tcBorders>
            <w:shd w:val="clear" w:color="auto" w:fill="auto"/>
          </w:tcPr>
          <w:p w14:paraId="0327572A" w14:textId="77777777" w:rsidR="000102E1" w:rsidRPr="00C62205" w:rsidRDefault="00730DF1" w:rsidP="00E27542">
            <w:pPr>
              <w:jc w:val="both"/>
              <w:rPr>
                <w:rFonts w:ascii="Book Antiqua" w:hAnsi="Book Antiqua"/>
                <w:sz w:val="22"/>
              </w:rPr>
            </w:pPr>
            <w:r w:rsidRPr="00C62205">
              <w:rPr>
                <w:rFonts w:ascii="Book Antiqua" w:hAnsi="Book Antiqua"/>
                <w:sz w:val="22"/>
              </w:rPr>
              <w:t>The purpose of this research is to find out how the Bankruptcy Regulations Against BUMN and how the Role of the Minister of Finance in Submitting the Application for a Statement of Bankruptcy Against BUMN Debtors, which with normative legal research methods are concluded: 1. Arrangements for bankruptcy of a State-Owned Enterprise (BUMN) are regulated as a whole in Law Number 37 of 2004 concerning Bankruptcy and Suspension of Debt Payment Obligations. More specifically, the regulation is regulated in Article 2 paragraph (5) of Law Number 37 of 2004. Bankruptcy arrangements for BUMN have ambiguity or multiple interpretations related to the explanation of Article 2 paragraph (5) regarding BUMN that are engaged in the public interest, the Bankruptcy Law does not provide restrictions the criteria for the public interest are strictly defined, only using limits on the size and origin of the capital but not clearly explaining that what is meant by public interest is BUMN Perum. The existence of disharmony of the law regarding the authority of the Minister of Finance in insolvency of BUMN Perum must also pay attention to the principle of Lex posteriori derogate legi priori, namely the new regulation defeats or paralyzes the old regulation. 2. The Minister of Finance has an important role in submitting an application for a declaration of bankruptcy against a State-Owned Enterprise (BUMN). The Minister of Finance has a role to bankrupt a BUMN that is engaged in the public interest (perum) for the benefit of the country's economy, or to be one way to save the country's economy through bankruptcy. The role of the Minister of Finance in the bankruptcy of SOEs in accordance with Law Number 37 of 2004 concerning Bankruptcy and Suspension of Debt Payment Obligations is as an applicant for a declaration of bankruptcy against State-Owned Enterprises (BUMN) engaged in the public interest or Perum. In the event that BUMN creditors who will file for bankruptcy must first submit an application to the Minister of Finance through the Legal Bureau for State Property Law, Company, and Legal Information which will then be submitted to the Minister of Finance to immediately submit a request for a declaration of bankruptcy against BUMN to the Chairperson of the Court.</w:t>
            </w:r>
          </w:p>
          <w:p w14:paraId="27C72A1A" w14:textId="5F3C3E8B" w:rsidR="00C62205" w:rsidRPr="00C62205" w:rsidRDefault="000102E1" w:rsidP="00E27542">
            <w:pPr>
              <w:jc w:val="both"/>
              <w:rPr>
                <w:rFonts w:ascii="Book Antiqua" w:hAnsi="Book Antiqua"/>
                <w:sz w:val="22"/>
              </w:rPr>
            </w:pPr>
            <w:r w:rsidRPr="00C62205">
              <w:rPr>
                <w:rFonts w:ascii="Book Antiqua" w:hAnsi="Book Antiqua"/>
                <w:sz w:val="22"/>
              </w:rPr>
              <w:t>Keywords: bankrupt; Minister of Finance;</w:t>
            </w:r>
          </w:p>
        </w:tc>
      </w:tr>
      <w:tr w:rsidR="00B56D4F" w:rsidRPr="00B56D4F" w14:paraId="0AB5E8FC" w14:textId="77777777" w:rsidTr="00153CD6">
        <w:tc>
          <w:tcPr>
            <w:tcW w:w="2682" w:type="dxa"/>
            <w:shd w:val="clear" w:color="auto" w:fill="D9D9D9"/>
          </w:tcPr>
          <w:p w14:paraId="0804DC32" w14:textId="77777777" w:rsidR="00E851F1" w:rsidRPr="00B56D4F" w:rsidRDefault="00E851F1" w:rsidP="00DB3F2B">
            <w:pPr>
              <w:rPr>
                <w:rFonts w:ascii="Book Antiqua" w:hAnsi="Book Antiqua"/>
                <w:bCs/>
                <w:i/>
                <w:iCs/>
                <w:sz w:val="24"/>
                <w:szCs w:val="24"/>
                <w:lang w:val="id-ID"/>
              </w:rPr>
            </w:pPr>
          </w:p>
        </w:tc>
        <w:tc>
          <w:tcPr>
            <w:tcW w:w="338" w:type="dxa"/>
          </w:tcPr>
          <w:p w14:paraId="3D80194B" w14:textId="77777777" w:rsidR="00E851F1" w:rsidRPr="00B56D4F" w:rsidRDefault="00E851F1" w:rsidP="00DB3F2B">
            <w:pPr>
              <w:rPr>
                <w:rFonts w:ascii="Book Antiqua" w:hAnsi="Book Antiqua"/>
                <w:i/>
                <w:iCs/>
                <w:sz w:val="24"/>
                <w:szCs w:val="24"/>
                <w:lang w:val="id-ID"/>
              </w:rPr>
            </w:pPr>
          </w:p>
        </w:tc>
        <w:tc>
          <w:tcPr>
            <w:tcW w:w="6619" w:type="dxa"/>
            <w:tcBorders>
              <w:top w:val="single" w:sz="4" w:space="0" w:color="auto"/>
            </w:tcBorders>
            <w:shd w:val="clear" w:color="auto" w:fill="auto"/>
          </w:tcPr>
          <w:p w14:paraId="1BC9F2A3" w14:textId="77777777" w:rsidR="00E851F1" w:rsidRDefault="00C62205" w:rsidP="006D1334">
            <w:pPr>
              <w:rPr>
                <w:rFonts w:ascii="Book Antiqua" w:hAnsi="Book Antiqua"/>
                <w:b/>
                <w:bCs/>
                <w:i/>
                <w:iCs/>
                <w:sz w:val="24"/>
                <w:szCs w:val="24"/>
                <w:lang w:val="en-US"/>
              </w:rPr>
            </w:pPr>
            <w:r>
              <w:rPr>
                <w:rFonts w:ascii="Book Antiqua" w:hAnsi="Book Antiqua"/>
                <w:b/>
                <w:bCs/>
                <w:i/>
                <w:iCs/>
                <w:sz w:val="24"/>
                <w:szCs w:val="24"/>
                <w:lang w:val="en-US"/>
              </w:rPr>
              <w:t>Abstrak</w:t>
            </w:r>
          </w:p>
          <w:p w14:paraId="2D6E0A51" w14:textId="77777777" w:rsidR="00C62205" w:rsidRPr="00AF40E0" w:rsidRDefault="00C62205" w:rsidP="00C62205">
            <w:pPr>
              <w:jc w:val="both"/>
              <w:rPr>
                <w:rFonts w:ascii="Book Antiqua" w:hAnsi="Book Antiqua"/>
                <w:sz w:val="24"/>
              </w:rPr>
            </w:pPr>
            <w:r w:rsidRPr="00AF40E0">
              <w:rPr>
                <w:rFonts w:ascii="Book Antiqua" w:hAnsi="Book Antiqua"/>
                <w:sz w:val="24"/>
              </w:rPr>
              <w:t xml:space="preserve">Tujuan dilakukannya penelitian ini yaitu untuk mengetahui bagaimana Pengaturan Kepailitan Terhadap BUMN dan bagaimana Peranan Menteri Keuangan Dalam Pengajuan Permohonan Pernyataan Pailit Terhadap Debitor BUMN, yang dengan metode penelitian hukum normatif disimpulkan: 1. Pengaturan untuk mempailitkan suatu Badan Usaha Milik Negara (BUMN) diatur secara keseluruhan dalam Undang-Undang Nomor 37 Tahun 2004 tentang Kepailitan dan Penundaan Kewajiban Pembayaran Utang. Lebih spesifik pengaturannya diatur dalam Pasal 2 ayat (5) Undang-Undang Nomor 37 Tahun 2004. Pengaturan Kepailitan terhadap BUMN memiliki Kekaburan atau multitafsir terkait penjelasan Pasal 2 ayat (5) mengenai BUMN yang bergerak dibidang kepentingan publik, Undang-Undang Kepailitan tidak memberikan batasan kriteria kepentingan publik secara tegas, hanya menggunakan batasan besaran dan asal modalnya tetapi tidak menjelaskan secara tegas bahwa yang dimaksud dengan kepentingan publik adalah BUMN Perum. Terdapatnya disharmonisasi Undang-Undang mengenai kewenangan Menteri Keuangan dalam mempailitkan BUMN Perum juga haruslah memperhatikan asas Lex posteriori derogate legi priori yakni peraturan yang baru mengalahkan atau melumpuhkan peraturan yang lama. 2. Menteri Keuangan memiliki peranan penting dalam pengajuan permohonan peryataan pailit terhadap Badan Usaha Milik Negara (BUMN). Menteri keuangan memiliki peranan untuk mempailitkan suatu BUMN yang bergerak dibidang kepentingan publik (perum) untuk kepentingan perekonomian Negara, atau menjadi salah satu cara untuk menyelamatkan perekonomian Negara melalui kepailitan. Peranan Menteri Keuangan dalam kepailitan BUMN sesuai dengan Undang-Undang Nomor 37 tahun 2004 tentang Kepailitan dan Penundaan Kewajiban Pembayaran Utang adalah sebagai pemohon pernyataan pailit terhadap Badan Usaha Milik Negara (BUMN) yang bergerak di bidang kepentingan Publik atau Perum. Dalam hal kreditor BUMN yang akan mengajukan pailit harus terlebih dahulu mengajukan permohonan kepada Menteri keuangan melalui Biro Hukum bagian Hukum Kekayaan Negara, Perusahaan, dan Informasi hukum yang kemudian akan disampaikan kepada Menteri Keuangan untuk segera mengajukan permohonan pernyataan pailit terhadap </w:t>
            </w:r>
            <w:r w:rsidRPr="00AF40E0">
              <w:rPr>
                <w:rFonts w:ascii="Book Antiqua" w:hAnsi="Book Antiqua"/>
                <w:sz w:val="24"/>
              </w:rPr>
              <w:lastRenderedPageBreak/>
              <w:t xml:space="preserve">BUMN kepada Ketua Pengadilan. </w:t>
            </w:r>
          </w:p>
          <w:p w14:paraId="765735BF" w14:textId="6FAC61E3" w:rsidR="00C62205" w:rsidRPr="009142FC" w:rsidRDefault="00C62205" w:rsidP="009142FC">
            <w:pPr>
              <w:jc w:val="both"/>
              <w:rPr>
                <w:rFonts w:ascii="Book Antiqua" w:hAnsi="Book Antiqua"/>
                <w:sz w:val="24"/>
              </w:rPr>
            </w:pPr>
            <w:r w:rsidRPr="00AF40E0">
              <w:rPr>
                <w:rFonts w:ascii="Book Antiqua" w:hAnsi="Book Antiqua"/>
                <w:sz w:val="24"/>
              </w:rPr>
              <w:t>Kata kunci: pailit; menteri keuangan;</w:t>
            </w:r>
          </w:p>
        </w:tc>
      </w:tr>
    </w:tbl>
    <w:p w14:paraId="47EB920F" w14:textId="2734347A" w:rsidR="00DB3F2B" w:rsidRPr="00B56D4F" w:rsidRDefault="009976BA" w:rsidP="00C62205">
      <w:pPr>
        <w:spacing w:line="276" w:lineRule="auto"/>
        <w:ind w:left="284" w:hanging="284"/>
        <w:rPr>
          <w:rFonts w:ascii="Book Antiqua" w:hAnsi="Book Antiqua"/>
          <w:b/>
          <w:bCs/>
          <w:sz w:val="24"/>
          <w:szCs w:val="24"/>
          <w:lang w:val="id-ID"/>
        </w:rPr>
      </w:pPr>
      <w:r>
        <w:rPr>
          <w:rFonts w:ascii="Book Antiqua" w:hAnsi="Book Antiqua"/>
          <w:b/>
          <w:bCs/>
          <w:sz w:val="24"/>
          <w:szCs w:val="24"/>
        </w:rPr>
        <w:lastRenderedPageBreak/>
        <w:t xml:space="preserve">I. </w:t>
      </w:r>
      <w:r>
        <w:rPr>
          <w:rFonts w:ascii="Book Antiqua" w:hAnsi="Book Antiqua"/>
          <w:b/>
          <w:bCs/>
          <w:sz w:val="24"/>
          <w:szCs w:val="24"/>
        </w:rPr>
        <w:tab/>
      </w:r>
      <w:r w:rsidR="006D1334" w:rsidRPr="00B56D4F">
        <w:rPr>
          <w:rFonts w:ascii="Book Antiqua" w:hAnsi="Book Antiqua"/>
          <w:b/>
          <w:bCs/>
          <w:sz w:val="24"/>
          <w:szCs w:val="24"/>
          <w:lang w:val="id-ID"/>
        </w:rPr>
        <w:t>Introduction</w:t>
      </w:r>
    </w:p>
    <w:p w14:paraId="067135C1" w14:textId="5B4410CA" w:rsidR="006D1334" w:rsidRDefault="009976BA" w:rsidP="009142FC">
      <w:pPr>
        <w:spacing w:line="276" w:lineRule="auto"/>
        <w:jc w:val="both"/>
        <w:rPr>
          <w:rFonts w:ascii="Book Antiqua" w:eastAsia="Times New Roman" w:hAnsi="Book Antiqua"/>
          <w:color w:val="000000"/>
          <w:sz w:val="24"/>
          <w:szCs w:val="24"/>
        </w:rPr>
      </w:pPr>
      <w:r w:rsidRPr="009976BA">
        <w:rPr>
          <w:rFonts w:ascii="Book Antiqua" w:eastAsia="Times New Roman" w:hAnsi="Book Antiqua"/>
          <w:color w:val="000000"/>
          <w:sz w:val="24"/>
          <w:szCs w:val="24"/>
        </w:rPr>
        <w:t>Economic activities that occur in society are essentially a series of legal actions of many types, varieties, qualities and variations carried out by individuals, between companies, between countries and between groups in various volumes with high frequency at any time in various places. Considering that the higher the frequency of economic activities that occur in certain communities, the more the need for funds as one of the driving factors in moving the wheels of the economy.</w:t>
      </w:r>
      <w:r w:rsidRPr="009976BA">
        <w:rPr>
          <w:rStyle w:val="FootnoteReference"/>
          <w:rFonts w:ascii="Book Antiqua" w:eastAsia="Times New Roman" w:hAnsi="Book Antiqua"/>
          <w:color w:val="000000"/>
          <w:sz w:val="24"/>
          <w:szCs w:val="24"/>
        </w:rPr>
        <w:footnoteReference w:id="1"/>
      </w:r>
    </w:p>
    <w:p w14:paraId="0A5E95CE" w14:textId="6B21E59B" w:rsidR="00C04E36" w:rsidRDefault="00C04E36" w:rsidP="009142FC">
      <w:pPr>
        <w:spacing w:line="276" w:lineRule="auto"/>
        <w:jc w:val="both"/>
        <w:rPr>
          <w:rFonts w:ascii="Book Antiqua" w:eastAsia="Times New Roman" w:hAnsi="Book Antiqua"/>
          <w:color w:val="000000"/>
          <w:sz w:val="24"/>
          <w:szCs w:val="24"/>
        </w:rPr>
      </w:pPr>
      <w:r w:rsidRPr="00C04E36">
        <w:rPr>
          <w:rFonts w:ascii="Book Antiqua" w:eastAsia="Times New Roman" w:hAnsi="Book Antiqua"/>
          <w:color w:val="000000"/>
          <w:sz w:val="24"/>
          <w:szCs w:val="24"/>
        </w:rPr>
        <w:t>State-Owned Enterprises (BUMN) which all or most of their capital comes from separated state assets are one of the economic actors in the national economic system, in addition to private businesses and cooperatives. BUMN which is one of the tangible manifestations of Article 33 of the 1945 Constitution of the Republic of Indonesia has a strategic position for improving people's welfare. The state controls the natural wealth, but the state cannot try or run a company by implementing government, because it will result in a commercial government. So that the government can run well, the State establishes BUMN to exploit these natural resources for the prosperity of the people.</w:t>
      </w:r>
      <w:r>
        <w:rPr>
          <w:rStyle w:val="FootnoteReference"/>
          <w:rFonts w:ascii="Book Antiqua" w:eastAsia="Times New Roman" w:hAnsi="Book Antiqua"/>
          <w:color w:val="000000"/>
          <w:sz w:val="24"/>
          <w:szCs w:val="24"/>
        </w:rPr>
        <w:footnoteReference w:id="2"/>
      </w:r>
    </w:p>
    <w:p w14:paraId="195F6399" w14:textId="128D9BC4" w:rsidR="00C04E36" w:rsidRDefault="00C04E36" w:rsidP="009142FC">
      <w:pPr>
        <w:spacing w:line="276" w:lineRule="auto"/>
        <w:jc w:val="both"/>
        <w:rPr>
          <w:rFonts w:ascii="Book Antiqua" w:eastAsia="Times New Roman" w:hAnsi="Book Antiqua"/>
          <w:color w:val="000000"/>
          <w:sz w:val="24"/>
          <w:szCs w:val="24"/>
        </w:rPr>
      </w:pPr>
      <w:r w:rsidRPr="00C04E36">
        <w:rPr>
          <w:rFonts w:ascii="Book Antiqua" w:eastAsia="Times New Roman" w:hAnsi="Book Antiqua"/>
          <w:color w:val="000000"/>
          <w:sz w:val="24"/>
          <w:szCs w:val="24"/>
        </w:rPr>
        <w:t xml:space="preserve">In its development, SOEs, especially State-Owned Enterprises (BUMN) face the risk of losses that lead to bankruptcy or bankruptcy when the management is carried out unprofessionally, not based on the principles of efficiency and not applying the principles of </w:t>
      </w:r>
      <w:r w:rsidRPr="00C04E36">
        <w:rPr>
          <w:rFonts w:ascii="Book Antiqua" w:eastAsia="Times New Roman" w:hAnsi="Book Antiqua"/>
          <w:i/>
          <w:iCs/>
          <w:color w:val="000000"/>
          <w:sz w:val="24"/>
          <w:szCs w:val="24"/>
        </w:rPr>
        <w:t xml:space="preserve">good corporate governance </w:t>
      </w:r>
      <w:r w:rsidRPr="00C04E36">
        <w:rPr>
          <w:rFonts w:ascii="Book Antiqua" w:eastAsia="Times New Roman" w:hAnsi="Book Antiqua"/>
          <w:color w:val="000000"/>
          <w:sz w:val="24"/>
          <w:szCs w:val="24"/>
        </w:rPr>
        <w:t xml:space="preserve">. SOEs often take actions that are detrimental to their business partners and </w:t>
      </w:r>
      <w:r w:rsidRPr="00C04E36">
        <w:rPr>
          <w:rFonts w:ascii="Book Antiqua" w:eastAsia="Times New Roman" w:hAnsi="Book Antiqua"/>
          <w:i/>
          <w:iCs/>
          <w:color w:val="000000"/>
          <w:sz w:val="24"/>
          <w:szCs w:val="24"/>
        </w:rPr>
        <w:t xml:space="preserve">stake holders </w:t>
      </w:r>
      <w:r w:rsidRPr="00C04E36">
        <w:rPr>
          <w:rFonts w:ascii="Book Antiqua" w:eastAsia="Times New Roman" w:hAnsi="Book Antiqua"/>
          <w:color w:val="000000"/>
          <w:sz w:val="24"/>
          <w:szCs w:val="24"/>
        </w:rPr>
        <w:t xml:space="preserve">, because they have broken promises/ </w:t>
      </w:r>
      <w:r w:rsidRPr="00C04E36">
        <w:rPr>
          <w:rFonts w:ascii="Book Antiqua" w:eastAsia="Times New Roman" w:hAnsi="Book Antiqua"/>
          <w:i/>
          <w:iCs/>
          <w:color w:val="000000"/>
          <w:sz w:val="24"/>
          <w:szCs w:val="24"/>
        </w:rPr>
        <w:t xml:space="preserve">defaults </w:t>
      </w:r>
      <w:r w:rsidRPr="00C04E36">
        <w:rPr>
          <w:rFonts w:ascii="Book Antiqua" w:eastAsia="Times New Roman" w:hAnsi="Book Antiqua"/>
          <w:color w:val="000000"/>
          <w:sz w:val="24"/>
          <w:szCs w:val="24"/>
        </w:rPr>
        <w:t>or acted against the law. The regulation of the petition for declaration of bankruptcy against BUMN, in Law Number 37 of 2004 concerning Bankruptcy and Suspension of Debt Payment Obligations (UUKPKPU) shows that the government is aware of the ups and downs of BUMN's finances.</w:t>
      </w:r>
      <w:r>
        <w:rPr>
          <w:rStyle w:val="FootnoteReference"/>
          <w:rFonts w:ascii="Book Antiqua" w:eastAsia="Times New Roman" w:hAnsi="Book Antiqua"/>
          <w:color w:val="000000"/>
          <w:sz w:val="24"/>
          <w:szCs w:val="24"/>
        </w:rPr>
        <w:footnoteReference w:id="3"/>
      </w:r>
    </w:p>
    <w:p w14:paraId="2EA79E68" w14:textId="0775EF62" w:rsidR="00C04E36" w:rsidRDefault="00C04E36" w:rsidP="009142FC">
      <w:pPr>
        <w:spacing w:line="276" w:lineRule="auto"/>
        <w:jc w:val="both"/>
        <w:rPr>
          <w:rFonts w:ascii="Book Antiqua" w:eastAsia="Times New Roman" w:hAnsi="Book Antiqua"/>
          <w:color w:val="000000"/>
          <w:sz w:val="24"/>
          <w:szCs w:val="24"/>
        </w:rPr>
      </w:pPr>
      <w:r w:rsidRPr="00C04E36">
        <w:rPr>
          <w:rFonts w:ascii="Book Antiqua" w:eastAsia="Times New Roman" w:hAnsi="Book Antiqua"/>
          <w:color w:val="000000"/>
          <w:sz w:val="24"/>
          <w:szCs w:val="24"/>
        </w:rPr>
        <w:t xml:space="preserve">In Article 2 paragraph (5) of Law Number 37 of 2004 concerning Bankruptcy and Postponement of Debt Payment Obligations it is stated that "In the event that the Debtor is an Insurance Company, Reinsurance Company, Pension Fund, or State-Owned Enterprise operating in the field of public interest, the application a declaration of bankruptcy can only be submitted by the Minister of Finance”. </w:t>
      </w:r>
      <w:r>
        <w:rPr>
          <w:rStyle w:val="FootnoteReference"/>
          <w:rFonts w:ascii="Book Antiqua" w:eastAsia="Times New Roman" w:hAnsi="Book Antiqua"/>
          <w:color w:val="000000"/>
          <w:sz w:val="24"/>
          <w:szCs w:val="24"/>
        </w:rPr>
        <w:footnoteReference w:id="4"/>
      </w:r>
      <w:r w:rsidRPr="00C04E36">
        <w:rPr>
          <w:rFonts w:ascii="Book Antiqua" w:eastAsia="Times New Roman" w:hAnsi="Book Antiqua"/>
          <w:color w:val="000000"/>
          <w:sz w:val="24"/>
          <w:szCs w:val="24"/>
        </w:rPr>
        <w:t>In the article it is emphasized that the only Minister of Finance who can file a bankruptcy petition against a State-Owned Enterprise engaged in the public interest.</w:t>
      </w:r>
    </w:p>
    <w:p w14:paraId="55DAAB36" w14:textId="40E70A3D" w:rsidR="00C04E36" w:rsidRDefault="00C04E36" w:rsidP="009142FC">
      <w:pPr>
        <w:spacing w:line="276" w:lineRule="auto"/>
        <w:jc w:val="both"/>
        <w:rPr>
          <w:rFonts w:ascii="Book Antiqua" w:eastAsia="Times New Roman" w:hAnsi="Book Antiqua"/>
          <w:color w:val="000000"/>
          <w:sz w:val="24"/>
          <w:szCs w:val="24"/>
        </w:rPr>
      </w:pPr>
      <w:r w:rsidRPr="00C04E36">
        <w:rPr>
          <w:rFonts w:ascii="Book Antiqua" w:eastAsia="Times New Roman" w:hAnsi="Book Antiqua"/>
          <w:color w:val="000000"/>
          <w:sz w:val="24"/>
          <w:szCs w:val="24"/>
        </w:rPr>
        <w:lastRenderedPageBreak/>
        <w:t>In the explanation of Article 2 paragraph (5) of Law no. 37 of 2004 concerning Bankruptcy and Postponement of Debt Payment Obligations, it is explained that State-Owned Enterprises engaged in the public interest are State-Owned Enterprises whose entire capital is owned by the state and is not divided into shares. Which means that BUMN Perum is a type of BUMN that can apply for a declaration of bankruptcy by the Minister of Finance because BUMN Perum is entirely controlled by the State and is not divided into shares. The explanation of the article is not sufficient to answer the form of BUMN that can be bankrupted by the Minister of Finance, because if it refers to Law Number 19 of 2003 concerning State-Owned Enterprises, Article 55 paragraph (1) states that directors can only submit an application to the district court. so that Perum is declared bankrupt based on the approval of the Minister. The BUMN Law does not describe the intent of Article 55 paragraph (1) of Law no. 19 of 2003 in the explanation of the article, Based on this, it can be said that the Minister of Finance does not play an active role in the bankruptcy of Perum, so it is as if the Board of Directors of Perum plays an active role in the bankruptcy of BUMN Perum. This is very different from what is stated in the Bankruptcy Law and PKPU which states that a bankruptcy application against a BUMN can only be submitted by the Minister of Finance.</w:t>
      </w:r>
    </w:p>
    <w:p w14:paraId="04CC0BAE" w14:textId="22087222" w:rsidR="00C04E36" w:rsidRDefault="00C04E36" w:rsidP="009142FC">
      <w:pPr>
        <w:spacing w:line="276" w:lineRule="auto"/>
        <w:jc w:val="both"/>
        <w:rPr>
          <w:rFonts w:ascii="Book Antiqua" w:eastAsia="Times New Roman" w:hAnsi="Book Antiqua"/>
          <w:color w:val="000000"/>
          <w:sz w:val="24"/>
          <w:szCs w:val="24"/>
        </w:rPr>
      </w:pPr>
      <w:r w:rsidRPr="00C04E36">
        <w:rPr>
          <w:rFonts w:ascii="Book Antiqua" w:eastAsia="Times New Roman" w:hAnsi="Book Antiqua"/>
          <w:color w:val="000000"/>
          <w:sz w:val="24"/>
          <w:szCs w:val="24"/>
        </w:rPr>
        <w:t>In practice, the number of cases of bankruptcy petitions against SOEs is relatively rare when compared to bankruptcy petitions against private companies. However, it is also very important to know the role of the Minister of Finance in bankruptcy of a BUMN. In Law Number 37 of 2004 concerning Bankruptcy and Postponement of Debt Payment Obligations (UUKPKPU) it is not explained in detail how to regulate the bankruptcy of BUMN, the role of the Minister of Finance in filing bankruptcy applications against BUMN bankrupt debtors, position, influence, the initial process carried out by The Minister of Finance has arrived at the submission of his bankruptcy petition against BUMN, therefore it can create another perception among the public regarding the objectivity of the filing of the bankruptcy petition. It is very necessary to explain in terms of laws and regulations regarding clear procedures or legal umbrellas as well as through other technical regulations to provide certainty and justice in filing an application for bankruptcy against BUMN, because it cannot be denied that a BUMN is already in a state of insolvency, but for reasons of certain interests. such as political, personal,</w:t>
      </w:r>
      <w:r w:rsidRPr="00C04E36">
        <w:rPr>
          <w:rFonts w:ascii="Book Antiqua" w:eastAsia="Times New Roman" w:hAnsi="Book Antiqua"/>
          <w:color w:val="C00000"/>
          <w:sz w:val="24"/>
          <w:szCs w:val="24"/>
        </w:rPr>
        <w:t xml:space="preserve"> </w:t>
      </w:r>
      <w:r w:rsidRPr="00C04E36">
        <w:rPr>
          <w:rFonts w:ascii="Book Antiqua" w:eastAsia="Times New Roman" w:hAnsi="Book Antiqua"/>
          <w:color w:val="000000"/>
          <w:sz w:val="24"/>
          <w:szCs w:val="24"/>
        </w:rPr>
        <w:t>or some groups so that the government in this case the Minister of Finance does not file an application for bankruptcy to the BUMN, so that it can harm the creditors of the BUMN. Therefore, it must also be known together how the role of the Minister of Finance in filing a Bankruptcy Application against a state-owned bankrupt debtor.</w:t>
      </w:r>
    </w:p>
    <w:p w14:paraId="6F3BEC71" w14:textId="77777777" w:rsidR="00001FD4" w:rsidRDefault="00001FD4" w:rsidP="00001FD4">
      <w:pPr>
        <w:spacing w:line="276" w:lineRule="auto"/>
        <w:jc w:val="both"/>
        <w:rPr>
          <w:rFonts w:ascii="Book Antiqua" w:hAnsi="Book Antiqua"/>
          <w:b/>
          <w:bCs/>
          <w:sz w:val="24"/>
          <w:szCs w:val="24"/>
        </w:rPr>
      </w:pPr>
    </w:p>
    <w:p w14:paraId="5B00935D" w14:textId="77777777" w:rsidR="006F7CC6" w:rsidRDefault="006F7CC6" w:rsidP="00001FD4">
      <w:pPr>
        <w:spacing w:line="276" w:lineRule="auto"/>
        <w:jc w:val="both"/>
        <w:rPr>
          <w:rFonts w:ascii="Book Antiqua" w:hAnsi="Book Antiqua"/>
          <w:b/>
          <w:bCs/>
          <w:sz w:val="24"/>
          <w:szCs w:val="24"/>
        </w:rPr>
      </w:pPr>
    </w:p>
    <w:p w14:paraId="6B98EA30" w14:textId="77777777" w:rsidR="008137C6" w:rsidRDefault="008137C6" w:rsidP="00001FD4">
      <w:pPr>
        <w:spacing w:line="276" w:lineRule="auto"/>
        <w:ind w:left="284" w:hanging="284"/>
        <w:jc w:val="both"/>
        <w:rPr>
          <w:rFonts w:ascii="Book Antiqua" w:hAnsi="Book Antiqua"/>
          <w:b/>
          <w:bCs/>
          <w:sz w:val="24"/>
          <w:szCs w:val="24"/>
        </w:rPr>
      </w:pPr>
    </w:p>
    <w:p w14:paraId="6638B578" w14:textId="347C1774" w:rsidR="0077318C" w:rsidRPr="00B56D4F" w:rsidRDefault="00243CEB" w:rsidP="00001FD4">
      <w:pPr>
        <w:spacing w:line="276" w:lineRule="auto"/>
        <w:ind w:left="284" w:hanging="284"/>
        <w:jc w:val="both"/>
        <w:rPr>
          <w:rFonts w:ascii="Book Antiqua" w:hAnsi="Book Antiqua"/>
          <w:b/>
          <w:bCs/>
          <w:sz w:val="24"/>
          <w:szCs w:val="24"/>
          <w:lang w:val="id-ID"/>
        </w:rPr>
      </w:pPr>
      <w:r>
        <w:rPr>
          <w:rFonts w:ascii="Book Antiqua" w:hAnsi="Book Antiqua"/>
          <w:b/>
          <w:bCs/>
          <w:sz w:val="24"/>
          <w:szCs w:val="24"/>
        </w:rPr>
        <w:lastRenderedPageBreak/>
        <w:t xml:space="preserve"> </w:t>
      </w:r>
      <w:r w:rsidR="00C04E36">
        <w:rPr>
          <w:rFonts w:ascii="Book Antiqua" w:hAnsi="Book Antiqua"/>
          <w:b/>
          <w:bCs/>
          <w:sz w:val="24"/>
          <w:szCs w:val="24"/>
        </w:rPr>
        <w:t xml:space="preserve">2. </w:t>
      </w:r>
      <w:r w:rsidR="00C04E36">
        <w:rPr>
          <w:rFonts w:ascii="Book Antiqua" w:hAnsi="Book Antiqua"/>
          <w:b/>
          <w:bCs/>
          <w:sz w:val="24"/>
          <w:szCs w:val="24"/>
        </w:rPr>
        <w:tab/>
      </w:r>
      <w:r w:rsidR="006D1334" w:rsidRPr="00B56D4F">
        <w:rPr>
          <w:rFonts w:ascii="Book Antiqua" w:hAnsi="Book Antiqua"/>
          <w:b/>
          <w:bCs/>
          <w:sz w:val="24"/>
          <w:szCs w:val="24"/>
          <w:lang w:val="id-ID"/>
        </w:rPr>
        <w:t>Research Method</w:t>
      </w:r>
    </w:p>
    <w:p w14:paraId="23B08051" w14:textId="7E8E0566" w:rsidR="00C04E36" w:rsidRPr="00C04E36" w:rsidRDefault="00C04E36" w:rsidP="009142FC">
      <w:pPr>
        <w:spacing w:line="276" w:lineRule="auto"/>
        <w:contextualSpacing/>
        <w:jc w:val="both"/>
        <w:rPr>
          <w:rFonts w:ascii="Book Antiqua" w:eastAsia="Times New Roman" w:hAnsi="Book Antiqua"/>
          <w:color w:val="000000"/>
          <w:sz w:val="24"/>
          <w:szCs w:val="24"/>
        </w:rPr>
      </w:pPr>
      <w:r w:rsidRPr="00C04E36">
        <w:rPr>
          <w:rFonts w:ascii="Book Antiqua" w:eastAsia="Times New Roman" w:hAnsi="Book Antiqua"/>
          <w:color w:val="000000"/>
          <w:sz w:val="24"/>
          <w:szCs w:val="24"/>
        </w:rPr>
        <w:t>The research method used in this study is a normative juridical research method, namely research that is focused on examining the application of rules or norms in positive law.</w:t>
      </w:r>
      <w:r w:rsidRPr="00C04E36">
        <w:rPr>
          <w:rFonts w:ascii="Book Antiqua" w:eastAsia="Times New Roman" w:hAnsi="Book Antiqua"/>
          <w:sz w:val="24"/>
          <w:szCs w:val="24"/>
          <w:vertAlign w:val="superscript"/>
        </w:rPr>
        <w:footnoteReference w:id="5"/>
      </w:r>
      <w:r w:rsidR="009142FC">
        <w:rPr>
          <w:rFonts w:ascii="Book Antiqua" w:eastAsia="Times New Roman" w:hAnsi="Book Antiqua"/>
          <w:color w:val="000000"/>
          <w:sz w:val="24"/>
          <w:szCs w:val="24"/>
        </w:rPr>
        <w:t xml:space="preserve"> </w:t>
      </w:r>
      <w:r w:rsidRPr="00C04E36">
        <w:rPr>
          <w:rFonts w:ascii="Book Antiqua" w:eastAsia="Times New Roman" w:hAnsi="Book Antiqua"/>
          <w:color w:val="000000"/>
          <w:sz w:val="24"/>
          <w:szCs w:val="24"/>
        </w:rPr>
        <w:t xml:space="preserve">According to Soerjono Soekanto, in normative juridical research, only library materials or secondary data are examined, which includes primary, secondary and tertiary legal materials. </w:t>
      </w:r>
      <w:r w:rsidRPr="00C04E36">
        <w:rPr>
          <w:rFonts w:ascii="Book Antiqua" w:eastAsia="Times New Roman" w:hAnsi="Book Antiqua"/>
          <w:sz w:val="24"/>
          <w:szCs w:val="24"/>
          <w:vertAlign w:val="superscript"/>
        </w:rPr>
        <w:footnoteReference w:id="6"/>
      </w:r>
      <w:r w:rsidRPr="00C04E36">
        <w:rPr>
          <w:rFonts w:ascii="Book Antiqua" w:eastAsia="Times New Roman" w:hAnsi="Book Antiqua"/>
          <w:color w:val="000000"/>
          <w:sz w:val="24"/>
          <w:szCs w:val="24"/>
        </w:rPr>
        <w:t>The legal materials used as data sources in this study are as follows:</w:t>
      </w:r>
    </w:p>
    <w:p w14:paraId="4537759F" w14:textId="77777777" w:rsidR="00C04E36" w:rsidRPr="00C04E36" w:rsidRDefault="00C04E36" w:rsidP="009142FC">
      <w:pPr>
        <w:numPr>
          <w:ilvl w:val="0"/>
          <w:numId w:val="45"/>
        </w:numPr>
        <w:spacing w:line="276" w:lineRule="auto"/>
        <w:ind w:left="284" w:hanging="284"/>
        <w:contextualSpacing/>
        <w:jc w:val="both"/>
        <w:rPr>
          <w:rFonts w:ascii="Book Antiqua" w:eastAsia="Times New Roman" w:hAnsi="Book Antiqua"/>
          <w:color w:val="000000"/>
          <w:sz w:val="24"/>
          <w:szCs w:val="24"/>
        </w:rPr>
      </w:pPr>
      <w:r w:rsidRPr="00C04E36">
        <w:rPr>
          <w:rFonts w:ascii="Book Antiqua" w:eastAsia="Times New Roman" w:hAnsi="Book Antiqua"/>
          <w:color w:val="000000"/>
          <w:sz w:val="24"/>
          <w:szCs w:val="24"/>
        </w:rPr>
        <w:t>Primary legal materials, namely the main materials or sources obtained from statutory regulations, such as in Law Number 37 of 2004 concerning Bankruptcy and Suspension of Debt Payment Obligations and Law Number 19 of 2003 concerning State-Owned Enterprises, Civil Code, Regulation of the President of the Republic of Indonesia, Regulation of the Minister of Finance, and other regulations below that can explain the material of this research.</w:t>
      </w:r>
    </w:p>
    <w:p w14:paraId="7BA83890" w14:textId="77777777" w:rsidR="00C04E36" w:rsidRPr="00C04E36" w:rsidRDefault="00C04E36" w:rsidP="009142FC">
      <w:pPr>
        <w:numPr>
          <w:ilvl w:val="0"/>
          <w:numId w:val="45"/>
        </w:numPr>
        <w:spacing w:line="276" w:lineRule="auto"/>
        <w:ind w:left="284" w:hanging="284"/>
        <w:contextualSpacing/>
        <w:jc w:val="both"/>
        <w:rPr>
          <w:rFonts w:ascii="Book Antiqua" w:eastAsia="Times New Roman" w:hAnsi="Book Antiqua"/>
          <w:color w:val="000000"/>
          <w:sz w:val="24"/>
          <w:szCs w:val="24"/>
        </w:rPr>
      </w:pPr>
      <w:r w:rsidRPr="00C04E36">
        <w:rPr>
          <w:rFonts w:ascii="Book Antiqua" w:eastAsia="Times New Roman" w:hAnsi="Book Antiqua"/>
          <w:color w:val="000000"/>
          <w:sz w:val="24"/>
          <w:szCs w:val="24"/>
        </w:rPr>
        <w:t>Secondary legal materials, namely legal materials that provide explanations of primary legal materials obtained from literature books, journals, scholarly opinions, relevant scientific writings, and from other sources.</w:t>
      </w:r>
    </w:p>
    <w:p w14:paraId="7F8EEA6A" w14:textId="77777777" w:rsidR="00C04E36" w:rsidRPr="00C04E36" w:rsidRDefault="00C04E36" w:rsidP="009142FC">
      <w:pPr>
        <w:numPr>
          <w:ilvl w:val="0"/>
          <w:numId w:val="45"/>
        </w:numPr>
        <w:spacing w:line="276" w:lineRule="auto"/>
        <w:ind w:left="284" w:hanging="284"/>
        <w:contextualSpacing/>
        <w:jc w:val="both"/>
        <w:rPr>
          <w:rFonts w:ascii="Book Antiqua" w:eastAsia="Times New Roman" w:hAnsi="Book Antiqua"/>
          <w:color w:val="000000"/>
          <w:sz w:val="24"/>
          <w:szCs w:val="24"/>
        </w:rPr>
      </w:pPr>
      <w:r w:rsidRPr="00C04E36">
        <w:rPr>
          <w:rFonts w:ascii="Book Antiqua" w:eastAsia="Times New Roman" w:hAnsi="Book Antiqua"/>
          <w:color w:val="000000"/>
          <w:sz w:val="24"/>
          <w:szCs w:val="24"/>
        </w:rPr>
        <w:t>Tertiary legal materials are legal materials that can provide meaningful instructions or explanations for primary and secondary legal materials such as legal dictionaries, encyclopedias, black law dictionaries and others.</w:t>
      </w:r>
    </w:p>
    <w:p w14:paraId="5EFFD1F6" w14:textId="77777777" w:rsidR="00882EA9" w:rsidRPr="00B56D4F" w:rsidRDefault="00882EA9" w:rsidP="00001FD4">
      <w:pPr>
        <w:spacing w:line="276" w:lineRule="auto"/>
        <w:ind w:left="284"/>
        <w:jc w:val="both"/>
        <w:rPr>
          <w:rFonts w:ascii="Book Antiqua" w:hAnsi="Book Antiqua"/>
          <w:sz w:val="24"/>
          <w:szCs w:val="24"/>
          <w:lang w:val="id-ID"/>
        </w:rPr>
      </w:pPr>
    </w:p>
    <w:p w14:paraId="63DF895A" w14:textId="680D554A" w:rsidR="00B56D4F" w:rsidRDefault="00882EA9" w:rsidP="00001FD4">
      <w:pPr>
        <w:spacing w:line="276" w:lineRule="auto"/>
        <w:ind w:left="284" w:hanging="284"/>
        <w:jc w:val="both"/>
        <w:rPr>
          <w:rFonts w:ascii="Book Antiqua" w:hAnsi="Book Antiqua"/>
          <w:b/>
          <w:bCs/>
          <w:sz w:val="24"/>
          <w:szCs w:val="24"/>
        </w:rPr>
      </w:pPr>
      <w:r w:rsidRPr="00B56D4F">
        <w:rPr>
          <w:rFonts w:ascii="Book Antiqua" w:hAnsi="Book Antiqua"/>
          <w:b/>
          <w:bCs/>
          <w:sz w:val="24"/>
          <w:szCs w:val="24"/>
          <w:lang w:val="id-ID"/>
        </w:rPr>
        <w:t>3. Results and Discussion</w:t>
      </w:r>
    </w:p>
    <w:p w14:paraId="628DF60F" w14:textId="7C17B4BF" w:rsidR="00BF3105" w:rsidRDefault="00BF3105" w:rsidP="00001FD4">
      <w:pPr>
        <w:spacing w:line="276" w:lineRule="auto"/>
        <w:ind w:left="567" w:hanging="567"/>
        <w:jc w:val="both"/>
        <w:rPr>
          <w:rFonts w:ascii="Book Antiqua" w:hAnsi="Book Antiqua"/>
          <w:b/>
          <w:bCs/>
          <w:sz w:val="24"/>
          <w:szCs w:val="24"/>
        </w:rPr>
      </w:pPr>
      <w:r>
        <w:rPr>
          <w:rFonts w:ascii="Book Antiqua" w:hAnsi="Book Antiqua"/>
          <w:b/>
          <w:bCs/>
          <w:sz w:val="24"/>
          <w:szCs w:val="24"/>
        </w:rPr>
        <w:t xml:space="preserve">3.1 </w:t>
      </w:r>
      <w:r>
        <w:rPr>
          <w:rFonts w:ascii="Book Antiqua" w:hAnsi="Book Antiqua"/>
          <w:b/>
          <w:bCs/>
          <w:sz w:val="24"/>
          <w:szCs w:val="24"/>
        </w:rPr>
        <w:tab/>
        <w:t>Bankruptcy Regulations Against BUMN</w:t>
      </w:r>
    </w:p>
    <w:p w14:paraId="6CDDC247" w14:textId="77777777" w:rsidR="00BC6636" w:rsidRDefault="00BC6636" w:rsidP="004E7F4B">
      <w:pPr>
        <w:spacing w:line="276" w:lineRule="auto"/>
        <w:ind w:left="567"/>
        <w:contextualSpacing/>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Bankruptcy arrangements for State-Owned Enterprises (BUMN) are regulated in Law Number 37 of 2004 concerning Bankruptcy and Suspension of Debt Payment Obligations. In Law Number 37 of 2004 concerning Bankruptcy and Postponement of Obligation for Payment of Debt, the regulation regarding bankruptcy of State-Owned Enterprises (BUMN) is specifically regulated in Article 2 paragraph (5) of Law Number 37 of 2004 concerning Bankruptcy and Postponement of Obligation for Payment of Debt. The article states that in the event that the debtor is an Insurance Company, Reinsurance Company, Pension Fund, or State-Owned Enterprise engaged in the public interest, the application for a declaration of bankruptcy can only be submitted by the Minister of Finance.</w:t>
      </w:r>
      <w:r w:rsidRPr="00401EAD">
        <w:rPr>
          <w:rFonts w:ascii="Book Antiqua" w:eastAsia="Times New Roman" w:hAnsi="Book Antiqua"/>
          <w:color w:val="000000"/>
          <w:sz w:val="24"/>
          <w:szCs w:val="24"/>
          <w:vertAlign w:val="superscript"/>
        </w:rPr>
        <w:footnoteReference w:id="7"/>
      </w:r>
      <w:r w:rsidRPr="00401EAD">
        <w:rPr>
          <w:rFonts w:ascii="Book Antiqua" w:eastAsia="Times New Roman" w:hAnsi="Book Antiqua"/>
          <w:color w:val="000000"/>
          <w:sz w:val="24"/>
          <w:szCs w:val="24"/>
        </w:rPr>
        <w:t xml:space="preserve"> </w:t>
      </w:r>
    </w:p>
    <w:p w14:paraId="736CFADE" w14:textId="5A27AC41" w:rsidR="00001FD4" w:rsidRPr="00001FD4" w:rsidRDefault="00001FD4" w:rsidP="004E7F4B">
      <w:pPr>
        <w:spacing w:line="276" w:lineRule="auto"/>
        <w:ind w:left="1276" w:hanging="709"/>
        <w:contextualSpacing/>
        <w:jc w:val="both"/>
        <w:rPr>
          <w:rFonts w:ascii="Book Antiqua" w:eastAsia="Times New Roman" w:hAnsi="Book Antiqua"/>
          <w:b/>
          <w:color w:val="000000"/>
          <w:sz w:val="24"/>
          <w:szCs w:val="24"/>
        </w:rPr>
      </w:pPr>
      <w:r>
        <w:rPr>
          <w:rFonts w:ascii="Book Antiqua" w:eastAsia="Times New Roman" w:hAnsi="Book Antiqua"/>
          <w:b/>
          <w:color w:val="000000"/>
          <w:sz w:val="24"/>
          <w:szCs w:val="24"/>
        </w:rPr>
        <w:t xml:space="preserve">3.1.a. </w:t>
      </w:r>
      <w:r>
        <w:rPr>
          <w:rFonts w:ascii="Book Antiqua" w:eastAsia="Times New Roman" w:hAnsi="Book Antiqua"/>
          <w:b/>
          <w:color w:val="000000"/>
          <w:sz w:val="24"/>
          <w:szCs w:val="24"/>
        </w:rPr>
        <w:tab/>
        <w:t>State-Owned Enterprises (BUMN) Engaged in the Public Interest.</w:t>
      </w:r>
    </w:p>
    <w:p w14:paraId="65D6CB13" w14:textId="7B832B50" w:rsidR="00AE584B" w:rsidRDefault="00BC6636" w:rsidP="004E7F4B">
      <w:pPr>
        <w:spacing w:line="276" w:lineRule="auto"/>
        <w:ind w:left="1134"/>
        <w:contextualSpacing/>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 xml:space="preserve">Law No. 19 of 2003 concerning State-Owned Enterprises (BUMN) recognizes two forms of State-Owned Enterprises (BUMN), namely Limited Liability Companies (Persero) and Public Companies (Perum). </w:t>
      </w:r>
      <w:r w:rsidRPr="00401EAD">
        <w:rPr>
          <w:rFonts w:ascii="Book Antiqua" w:eastAsia="Times New Roman" w:hAnsi="Book Antiqua"/>
          <w:color w:val="000000"/>
          <w:sz w:val="24"/>
          <w:szCs w:val="24"/>
          <w:vertAlign w:val="superscript"/>
        </w:rPr>
        <w:footnoteReference w:id="8"/>
      </w:r>
      <w:r w:rsidRPr="00401EAD">
        <w:rPr>
          <w:rFonts w:ascii="Book Antiqua" w:eastAsia="Times New Roman" w:hAnsi="Book Antiqua"/>
          <w:color w:val="000000"/>
          <w:sz w:val="24"/>
          <w:szCs w:val="24"/>
        </w:rPr>
        <w:t xml:space="preserve">Article 1 point 2 of the BUMN Law states that a Limited Liability Company, hereinafter referred to as a </w:t>
      </w:r>
      <w:r w:rsidRPr="00401EAD">
        <w:rPr>
          <w:rFonts w:ascii="Book Antiqua" w:eastAsia="Times New Roman" w:hAnsi="Book Antiqua"/>
          <w:color w:val="000000"/>
          <w:sz w:val="24"/>
          <w:szCs w:val="24"/>
        </w:rPr>
        <w:lastRenderedPageBreak/>
        <w:t xml:space="preserve">Persero, is a State-Owned Enterprise in the form of a limited liability company whose capital is divided into shares of which all or at least 51% (fifty one percent) of the shares are owned by the State of the Republic of Indonesia. main goal is to make profit. </w:t>
      </w:r>
      <w:r w:rsidRPr="00401EAD">
        <w:rPr>
          <w:rFonts w:ascii="Book Antiqua" w:eastAsia="Times New Roman" w:hAnsi="Book Antiqua"/>
          <w:color w:val="000000"/>
          <w:sz w:val="24"/>
          <w:szCs w:val="24"/>
          <w:vertAlign w:val="superscript"/>
        </w:rPr>
        <w:footnoteReference w:id="9"/>
      </w:r>
      <w:r w:rsidRPr="00401EAD">
        <w:rPr>
          <w:rFonts w:ascii="Book Antiqua" w:eastAsia="Times New Roman" w:hAnsi="Book Antiqua"/>
          <w:color w:val="000000"/>
          <w:sz w:val="24"/>
          <w:szCs w:val="24"/>
        </w:rPr>
        <w:t xml:space="preserve">while a Public Company, hereinafter referred to as Perum, is a State-Owned Enterprise whose entire capital is owned by the state and is not divided into shares, which aims for the public benefit in the form of providing high quality goods and/or services and at the same time pursuing profits based on the principles of corporate management. </w:t>
      </w:r>
      <w:r w:rsidRPr="00401EAD">
        <w:rPr>
          <w:rFonts w:ascii="Book Antiqua" w:eastAsia="Times New Roman" w:hAnsi="Book Antiqua"/>
          <w:color w:val="000000"/>
          <w:sz w:val="24"/>
          <w:szCs w:val="24"/>
          <w:vertAlign w:val="superscript"/>
        </w:rPr>
        <w:footnoteReference w:id="10"/>
      </w:r>
      <w:r w:rsidR="00AE584B" w:rsidRPr="00401EAD">
        <w:rPr>
          <w:rFonts w:ascii="Book Antiqua" w:eastAsia="Times New Roman" w:hAnsi="Book Antiqua"/>
          <w:color w:val="000000"/>
          <w:sz w:val="24"/>
          <w:szCs w:val="24"/>
        </w:rPr>
        <w:t>What is meant by State-Owned Enterprises (BUMN) engaged in the field of public interest are Public Companies (Perum) because it is in accordance with the explanation. 37 of 2004 concerning Bankruptcy and Suspension of Debt Payment Obligations.</w:t>
      </w:r>
    </w:p>
    <w:p w14:paraId="3C38971F" w14:textId="77777777" w:rsidR="004E7F4B" w:rsidRDefault="00AE584B" w:rsidP="004E7F4B">
      <w:pPr>
        <w:spacing w:line="276" w:lineRule="auto"/>
        <w:ind w:left="1134"/>
        <w:contextualSpacing/>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Elucidation of Article 2 paragraph 5 of Law no. 37 of 2004 concerning Bankruptcy and Suspension of Debt Payment Obligations are as follows:</w:t>
      </w:r>
      <w:r w:rsidRPr="00401EAD">
        <w:rPr>
          <w:rFonts w:ascii="Book Antiqua" w:eastAsia="Times New Roman" w:hAnsi="Book Antiqua"/>
          <w:color w:val="000000"/>
          <w:sz w:val="24"/>
          <w:szCs w:val="24"/>
          <w:vertAlign w:val="superscript"/>
        </w:rPr>
        <w:footnoteReference w:id="11"/>
      </w:r>
    </w:p>
    <w:p w14:paraId="02CBBFA6" w14:textId="77777777" w:rsidR="004E7F4B" w:rsidRDefault="00AE584B" w:rsidP="004E7F4B">
      <w:pPr>
        <w:spacing w:line="276" w:lineRule="auto"/>
        <w:ind w:left="1134"/>
        <w:contextualSpacing/>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“What is meant by “Insurance Company” is Life Insurance Company and Loss Insurance Company.</w:t>
      </w:r>
    </w:p>
    <w:p w14:paraId="1DA505A7" w14:textId="77777777" w:rsidR="004E7F4B" w:rsidRDefault="00AE584B" w:rsidP="004E7F4B">
      <w:pPr>
        <w:spacing w:line="276" w:lineRule="auto"/>
        <w:ind w:left="1134"/>
        <w:contextualSpacing/>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Insurance Company and Reinsurance Company are Insurance Company and Reinsurance Company as referred to in the Law governing Insurance Business.</w:t>
      </w:r>
    </w:p>
    <w:p w14:paraId="7F201DDE" w14:textId="77777777" w:rsidR="004E7F4B" w:rsidRDefault="00AE584B" w:rsidP="004E7F4B">
      <w:pPr>
        <w:spacing w:line="276" w:lineRule="auto"/>
        <w:ind w:left="1134"/>
        <w:contextualSpacing/>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The authority to apply for a declaration of bankruptcy for an Insurance Company or Reinsurance Company rests entirely with the Minister of Finance.</w:t>
      </w:r>
    </w:p>
    <w:p w14:paraId="683171AC" w14:textId="77777777" w:rsidR="004E7F4B" w:rsidRDefault="00AE584B" w:rsidP="004E7F4B">
      <w:pPr>
        <w:spacing w:line="276" w:lineRule="auto"/>
        <w:ind w:left="1134"/>
        <w:contextualSpacing/>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This provision is necessary to build the level of public trust in Insurance Companies and Reinsurance Companies as risk management institutions and at the same time as public fund management institutions that have a strategic position in economic development and life.</w:t>
      </w:r>
    </w:p>
    <w:p w14:paraId="64C9C66D" w14:textId="77777777" w:rsidR="004E7F4B" w:rsidRDefault="00AE584B" w:rsidP="004E7F4B">
      <w:pPr>
        <w:spacing w:line="276" w:lineRule="auto"/>
        <w:ind w:left="1134"/>
        <w:contextualSpacing/>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 xml:space="preserve">Based on the explanation of Article 2 paragraph (5) of Law Number 37 of 2004 concerning Bankruptcy and Suspension of Debt Payment Obligations, what is meant by State-Owned Enterprises engaged in the public interest are SOEs whose entire capital is controlled by the state and not divided into shares, then petition for declaration of bankruptcy against BUMN whose capital is divided into shares, whose capital is wholly or partly owned by the state, namely BUMN in the form of a State-Owned Enterprise or Persero not included in the provisions of Article 2 paragraph (5) of Law Number 37 of 2004 concerning Bankruptcy and The postponement of the obligation to pay debts, so that the application for a declaration of bankruptcy can be submitted directly by the creditor, while the State-Owned Enterprises (BUMN) in the form of a Public Company (Perum) the application for a declaration of bankruptcy must be </w:t>
      </w:r>
      <w:r w:rsidRPr="00401EAD">
        <w:rPr>
          <w:rFonts w:ascii="Book Antiqua" w:eastAsia="Times New Roman" w:hAnsi="Book Antiqua"/>
          <w:color w:val="000000"/>
          <w:sz w:val="24"/>
          <w:szCs w:val="24"/>
        </w:rPr>
        <w:lastRenderedPageBreak/>
        <w:t>submitted by the Minister of Finance because Perum is not divided into shares and all of its capital is controlled by the Minister of Finance. Country.</w:t>
      </w:r>
    </w:p>
    <w:p w14:paraId="7A61F7F3" w14:textId="77777777" w:rsidR="004E7F4B" w:rsidRDefault="00AE584B" w:rsidP="004E7F4B">
      <w:pPr>
        <w:spacing w:line="276" w:lineRule="auto"/>
        <w:ind w:left="1134"/>
        <w:contextualSpacing/>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Prof. Dr. Rahayu Hartini, SH, M.Sc., M. Hum is of the opinion that the limits provided by the Law on Bankruptcy and Suspension of Debt Payment Obligations regarding the purpose of "State-Owned Enterprises engaged in the public interest", are unclear or inappropriate because they only use limitation or size of the amount and origin of capital and its form but does not explain what the public interest itself is, so this still opens up other interpretation opportunities that can provide opportunities for legal deviations in practice.</w:t>
      </w:r>
      <w:r w:rsidRPr="00401EAD">
        <w:rPr>
          <w:rStyle w:val="FootnoteReference"/>
          <w:rFonts w:ascii="Book Antiqua" w:eastAsia="Times New Roman" w:hAnsi="Book Antiqua"/>
          <w:color w:val="000000"/>
          <w:sz w:val="24"/>
          <w:szCs w:val="24"/>
        </w:rPr>
        <w:footnoteReference w:id="12"/>
      </w:r>
    </w:p>
    <w:p w14:paraId="3112A308" w14:textId="77777777" w:rsidR="004E7F4B" w:rsidRDefault="00001FD4" w:rsidP="004E7F4B">
      <w:pPr>
        <w:spacing w:line="276" w:lineRule="auto"/>
        <w:ind w:left="1134"/>
        <w:contextualSpacing/>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The absence of clear boundaries or parameters regarding the meaning of public interest in SOEs engaged in the public interest and multi-interpreted formulations in Article 2 paragraph (5) of Law Number 37 of 2004 concerning Bankruptcy and Suspension of Debt Payment Obligations and their explanations have led to differences of opinion. among judges in handling bankruptcy applications for State-Owned Enterprises. This can be seen from the case of PT. Dirgantara Indonesia (Persero) filed for bankruptcy by 3 former employees of PT. DI Persero, which at the Commercial Court, the panel of judges granted the bankruptcy petition because former employees could file for bankruptcy because PT. DI is a BUMN in the form of a Persero while at the Cassation level the panel of judges rejected the application because they considered PT. DI Persero is a BUMN that is engaged in the public interest.</w:t>
      </w:r>
    </w:p>
    <w:p w14:paraId="14EB1BAD" w14:textId="77777777" w:rsidR="004E7F4B" w:rsidRDefault="00001FD4" w:rsidP="004E7F4B">
      <w:pPr>
        <w:spacing w:line="276" w:lineRule="auto"/>
        <w:ind w:left="1134"/>
        <w:contextualSpacing/>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In addition to the ambiguity or multiple interpretations of the explanation of Article 2 paragraph (5), Bankruptcy Regulations against BUMN that are engaged in the public interest must refer to Article 2 paragraph (5) of Law Number 37 of 2004 concerning Bankruptcy and Suspension of Debt Payment Obligations, in accordance with the explanation The reason is that what is meant by BUMN that is engaged in the public interest is BUMN whose entire capital is controlled by the state and is not divided into shares, is a BUMN in the form of a Public Company (Perum).</w:t>
      </w:r>
    </w:p>
    <w:p w14:paraId="4604D671" w14:textId="1A916D27" w:rsidR="00001FD4" w:rsidRDefault="00001FD4" w:rsidP="004E7F4B">
      <w:pPr>
        <w:spacing w:line="276" w:lineRule="auto"/>
        <w:ind w:left="1134"/>
        <w:contextualSpacing/>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Based on the above description, if the BUMN is in the form of a Public Company (Perum) then the Minister of Finance who has an important role in the application for bankruptcy is the Minister of Finance, whereas if the BUMN is in the form of a Persero, it does not have to go through the Minister of Finance and can be carried out by the Debtor himself or by his creditors.</w:t>
      </w:r>
    </w:p>
    <w:p w14:paraId="58153893" w14:textId="77777777" w:rsidR="004E7F4B" w:rsidRDefault="004E7F4B" w:rsidP="004E7F4B">
      <w:pPr>
        <w:spacing w:line="276" w:lineRule="auto"/>
        <w:ind w:left="1134"/>
        <w:contextualSpacing/>
        <w:jc w:val="both"/>
        <w:rPr>
          <w:rFonts w:ascii="Book Antiqua" w:eastAsia="Times New Roman" w:hAnsi="Book Antiqua"/>
          <w:color w:val="000000"/>
          <w:sz w:val="24"/>
          <w:szCs w:val="24"/>
        </w:rPr>
      </w:pPr>
    </w:p>
    <w:p w14:paraId="3FC12A57" w14:textId="77777777" w:rsidR="004E7F4B" w:rsidRDefault="004E7F4B" w:rsidP="004E7F4B">
      <w:pPr>
        <w:spacing w:line="276" w:lineRule="auto"/>
        <w:ind w:left="1134"/>
        <w:contextualSpacing/>
        <w:jc w:val="both"/>
        <w:rPr>
          <w:rFonts w:ascii="Book Antiqua" w:eastAsia="Times New Roman" w:hAnsi="Book Antiqua"/>
          <w:color w:val="000000"/>
          <w:sz w:val="24"/>
          <w:szCs w:val="24"/>
        </w:rPr>
      </w:pPr>
    </w:p>
    <w:p w14:paraId="708230C2" w14:textId="77777777" w:rsidR="004E7F4B" w:rsidRDefault="004E7F4B" w:rsidP="004E7F4B">
      <w:pPr>
        <w:spacing w:line="276" w:lineRule="auto"/>
        <w:ind w:left="1134"/>
        <w:contextualSpacing/>
        <w:jc w:val="both"/>
        <w:rPr>
          <w:rFonts w:ascii="Book Antiqua" w:eastAsia="Times New Roman" w:hAnsi="Book Antiqua"/>
          <w:color w:val="000000"/>
          <w:sz w:val="24"/>
          <w:szCs w:val="24"/>
        </w:rPr>
      </w:pPr>
    </w:p>
    <w:p w14:paraId="773F92F2" w14:textId="77777777" w:rsidR="004E7F4B" w:rsidRDefault="004E7F4B" w:rsidP="004E7F4B">
      <w:pPr>
        <w:spacing w:line="276" w:lineRule="auto"/>
        <w:ind w:left="1134"/>
        <w:contextualSpacing/>
        <w:jc w:val="both"/>
        <w:rPr>
          <w:rFonts w:ascii="Book Antiqua" w:eastAsia="Times New Roman" w:hAnsi="Book Antiqua"/>
          <w:color w:val="000000"/>
          <w:sz w:val="24"/>
          <w:szCs w:val="24"/>
        </w:rPr>
      </w:pPr>
    </w:p>
    <w:p w14:paraId="7AEEE380" w14:textId="77777777" w:rsidR="00001FD4" w:rsidRDefault="00001FD4" w:rsidP="004E7F4B">
      <w:pPr>
        <w:spacing w:line="276" w:lineRule="auto"/>
        <w:ind w:left="1134" w:hanging="567"/>
        <w:contextualSpacing/>
        <w:jc w:val="both"/>
        <w:rPr>
          <w:rFonts w:ascii="Book Antiqua" w:eastAsia="Times New Roman" w:hAnsi="Book Antiqua"/>
          <w:b/>
          <w:bCs/>
          <w:color w:val="000000"/>
          <w:sz w:val="24"/>
          <w:szCs w:val="24"/>
        </w:rPr>
      </w:pPr>
      <w:r>
        <w:rPr>
          <w:rFonts w:ascii="Book Antiqua" w:eastAsia="Times New Roman" w:hAnsi="Book Antiqua"/>
          <w:b/>
          <w:color w:val="000000"/>
          <w:sz w:val="24"/>
          <w:szCs w:val="24"/>
        </w:rPr>
        <w:lastRenderedPageBreak/>
        <w:t xml:space="preserve">3.1.b </w:t>
      </w:r>
      <w:r>
        <w:rPr>
          <w:rFonts w:ascii="Book Antiqua" w:eastAsia="Times New Roman" w:hAnsi="Book Antiqua"/>
          <w:b/>
          <w:color w:val="000000"/>
          <w:sz w:val="24"/>
          <w:szCs w:val="24"/>
        </w:rPr>
        <w:tab/>
      </w:r>
      <w:r w:rsidRPr="00401EAD">
        <w:rPr>
          <w:rFonts w:ascii="Book Antiqua" w:eastAsia="Times New Roman" w:hAnsi="Book Antiqua"/>
          <w:b/>
          <w:bCs/>
          <w:color w:val="000000"/>
          <w:sz w:val="24"/>
          <w:szCs w:val="24"/>
        </w:rPr>
        <w:t>Disharmonization between Article 55 of Law Number 19 of 2003 and Article 2 paragraph (5) of Law Number 37 of 2004 concerning Bankruptcy and Postponement of Obligation to Pay Debt.</w:t>
      </w:r>
    </w:p>
    <w:p w14:paraId="460B3161" w14:textId="77777777" w:rsidR="004E7F4B" w:rsidRDefault="00001FD4" w:rsidP="004E7F4B">
      <w:pPr>
        <w:spacing w:line="276" w:lineRule="auto"/>
        <w:ind w:left="1134"/>
        <w:contextualSpacing/>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In Chapter III, the fourth part of Law Number 19 of 2003 concerning State-Owned Enterprises regarding the authority of the Minister, it does not clearly state the involvement of the Minister of Finance in the case of bankruptcy. Minister's Authority.</w:t>
      </w:r>
      <w:r w:rsidRPr="00401EAD">
        <w:rPr>
          <w:rFonts w:ascii="Book Antiqua" w:eastAsia="Times New Roman" w:hAnsi="Book Antiqua"/>
          <w:color w:val="000000"/>
          <w:sz w:val="24"/>
          <w:szCs w:val="24"/>
          <w:vertAlign w:val="superscript"/>
        </w:rPr>
        <w:footnoteReference w:id="13"/>
      </w:r>
    </w:p>
    <w:p w14:paraId="402BFC04" w14:textId="36721E9F" w:rsidR="00001FD4" w:rsidRPr="00401EAD" w:rsidRDefault="00001FD4" w:rsidP="004E7F4B">
      <w:pPr>
        <w:spacing w:line="276" w:lineRule="auto"/>
        <w:ind w:left="1134"/>
        <w:contextualSpacing/>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Article 38 of Law no. 19 of 2003 concerning BUMN:</w:t>
      </w:r>
    </w:p>
    <w:p w14:paraId="726FF6F9" w14:textId="49DDFE99" w:rsidR="00001FD4" w:rsidRPr="00401EAD" w:rsidRDefault="00001FD4" w:rsidP="004E7F4B">
      <w:pPr>
        <w:spacing w:line="276" w:lineRule="auto"/>
        <w:ind w:left="1560" w:hanging="426"/>
        <w:contextualSpacing/>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 xml:space="preserve">(1) </w:t>
      </w:r>
      <w:r w:rsidR="009142FC">
        <w:rPr>
          <w:rFonts w:ascii="Book Antiqua" w:eastAsia="Times New Roman" w:hAnsi="Book Antiqua"/>
          <w:color w:val="000000"/>
          <w:sz w:val="24"/>
          <w:szCs w:val="24"/>
        </w:rPr>
        <w:tab/>
      </w:r>
      <w:r w:rsidRPr="00401EAD">
        <w:rPr>
          <w:rFonts w:ascii="Book Antiqua" w:eastAsia="Times New Roman" w:hAnsi="Book Antiqua"/>
          <w:color w:val="000000"/>
          <w:sz w:val="24"/>
          <w:szCs w:val="24"/>
        </w:rPr>
        <w:t>The Minister approves the Perum business development policy proposed by the Board of Directors.</w:t>
      </w:r>
    </w:p>
    <w:p w14:paraId="4C62A046" w14:textId="647CFFB5" w:rsidR="00001FD4" w:rsidRPr="00401EAD" w:rsidRDefault="00001FD4" w:rsidP="004E7F4B">
      <w:pPr>
        <w:spacing w:line="276" w:lineRule="auto"/>
        <w:ind w:left="1560" w:hanging="426"/>
        <w:contextualSpacing/>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 xml:space="preserve">(2) </w:t>
      </w:r>
      <w:r w:rsidR="009142FC">
        <w:rPr>
          <w:rFonts w:ascii="Book Antiqua" w:eastAsia="Times New Roman" w:hAnsi="Book Antiqua"/>
          <w:color w:val="000000"/>
          <w:sz w:val="24"/>
          <w:szCs w:val="24"/>
        </w:rPr>
        <w:tab/>
      </w:r>
      <w:r w:rsidRPr="00401EAD">
        <w:rPr>
          <w:rFonts w:ascii="Book Antiqua" w:eastAsia="Times New Roman" w:hAnsi="Book Antiqua"/>
          <w:color w:val="000000"/>
          <w:sz w:val="24"/>
          <w:szCs w:val="24"/>
        </w:rPr>
        <w:t>The business development policy as referred to in paragraph (1) is proposed by the Board of Directors to the Minister after obtaining approval from the Supervisory Board.</w:t>
      </w:r>
    </w:p>
    <w:p w14:paraId="7EAB73F8" w14:textId="2A6AB193" w:rsidR="00001FD4" w:rsidRPr="00401EAD" w:rsidRDefault="00001FD4" w:rsidP="004E7F4B">
      <w:pPr>
        <w:spacing w:line="276" w:lineRule="auto"/>
        <w:ind w:left="1560" w:hanging="426"/>
        <w:contextualSpacing/>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 xml:space="preserve">(3) </w:t>
      </w:r>
      <w:r w:rsidR="009142FC">
        <w:rPr>
          <w:rFonts w:ascii="Book Antiqua" w:eastAsia="Times New Roman" w:hAnsi="Book Antiqua"/>
          <w:color w:val="000000"/>
          <w:sz w:val="24"/>
          <w:szCs w:val="24"/>
        </w:rPr>
        <w:tab/>
      </w:r>
      <w:r w:rsidRPr="00401EAD">
        <w:rPr>
          <w:rFonts w:ascii="Book Antiqua" w:eastAsia="Times New Roman" w:hAnsi="Book Antiqua"/>
          <w:color w:val="000000"/>
          <w:sz w:val="24"/>
          <w:szCs w:val="24"/>
        </w:rPr>
        <w:t>The policy as referred to in paragraph (1) shall be determined in accordance with the aims and objectives of the Perum concerned.</w:t>
      </w:r>
    </w:p>
    <w:p w14:paraId="128CE96F" w14:textId="77777777" w:rsidR="00001FD4" w:rsidRPr="00401EAD" w:rsidRDefault="00001FD4" w:rsidP="004E7F4B">
      <w:pPr>
        <w:spacing w:line="276" w:lineRule="auto"/>
        <w:ind w:left="1134"/>
        <w:contextualSpacing/>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Article 39 of Law no. 19 of 2003 concerning State-Owned Enterprises:</w:t>
      </w:r>
    </w:p>
    <w:p w14:paraId="7ADFE7F6" w14:textId="77777777" w:rsidR="004E7F4B" w:rsidRDefault="00001FD4" w:rsidP="004E7F4B">
      <w:pPr>
        <w:spacing w:line="276" w:lineRule="auto"/>
        <w:ind w:left="1701" w:right="850"/>
        <w:contextualSpacing/>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"The Minister is not responsible for all the consequences of legal actions made by Perum and is not responsible for the loss of Perum exceeding the value of state assets that have been separated into Perum, except if the Minister:</w:t>
      </w:r>
    </w:p>
    <w:p w14:paraId="3D75AF07" w14:textId="7AD2BA1B" w:rsidR="00001FD4" w:rsidRPr="00401EAD" w:rsidRDefault="00001FD4" w:rsidP="004E7F4B">
      <w:pPr>
        <w:spacing w:line="276" w:lineRule="auto"/>
        <w:ind w:left="1701" w:right="850"/>
        <w:contextualSpacing/>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either directly or indirectly in bad faith using Perum solely for personal gain; involved in unlawful acts committed by Perum; or directly or indirectly illegally use the assets of Perum.”</w:t>
      </w:r>
    </w:p>
    <w:p w14:paraId="66C86CCB" w14:textId="77777777" w:rsidR="00001FD4" w:rsidRPr="00401EAD" w:rsidRDefault="00001FD4" w:rsidP="004E7F4B">
      <w:pPr>
        <w:spacing w:line="276" w:lineRule="auto"/>
        <w:ind w:left="993"/>
        <w:contextualSpacing/>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Article 40 of Law no. 19 of 2003 concerning State-Owned Enterprises:</w:t>
      </w:r>
    </w:p>
    <w:p w14:paraId="32028C00" w14:textId="77777777" w:rsidR="00001FD4" w:rsidRPr="00401EAD" w:rsidRDefault="00001FD4" w:rsidP="004E7F4B">
      <w:pPr>
        <w:spacing w:line="276" w:lineRule="auto"/>
        <w:ind w:left="1701" w:right="850"/>
        <w:contextualSpacing/>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"Stipulations regarding the procedures for transferring, charging Perum's fixed assets, as well as receiving medium/long term loans and granting loans in any form and in any way, as well as not collecting and writing off receivables and inventories by Perum are regulated by a Ministerial Decree."</w:t>
      </w:r>
    </w:p>
    <w:p w14:paraId="3F3FFCAF" w14:textId="77777777" w:rsidR="004E7F4B" w:rsidRDefault="00001FD4" w:rsidP="004E7F4B">
      <w:pPr>
        <w:spacing w:line="276" w:lineRule="auto"/>
        <w:ind w:left="993"/>
        <w:contextualSpacing/>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Based on the authority of the Minister in Law no. 19 of 2003 concerning State-Owned Enterprises, it can be said that the Minister of Finance does not play an active role in the bankruptcy of BUMN Perum, while in Law Number 37 of 2004 concerning Bankruptcy and Postponement of Debt Payment Obligations, only the Minister of Finance plays an active role in filing a bankruptcy petition against State-Owned Enterprises (BUMN) Perum.</w:t>
      </w:r>
    </w:p>
    <w:p w14:paraId="32F287A5" w14:textId="77777777" w:rsidR="004E7F4B" w:rsidRDefault="002E65F9" w:rsidP="004E7F4B">
      <w:pPr>
        <w:spacing w:line="276" w:lineRule="auto"/>
        <w:ind w:left="993"/>
        <w:contextualSpacing/>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 xml:space="preserve">Conflicting regulations between Article 2 paragraph (5) of Law Number 37 of 2004 concerning Bankruptcy and Suspension of Debt Payment Obligations and </w:t>
      </w:r>
      <w:r w:rsidRPr="00401EAD">
        <w:rPr>
          <w:rFonts w:ascii="Book Antiqua" w:eastAsia="Times New Roman" w:hAnsi="Book Antiqua"/>
          <w:color w:val="000000"/>
          <w:sz w:val="24"/>
          <w:szCs w:val="24"/>
        </w:rPr>
        <w:lastRenderedPageBreak/>
        <w:t xml:space="preserve">Article 55 paragraph (1) of Law Number 19 of 2003 concerning State-Owned Enterprises can be resolved by one of the principles of preference, namely the </w:t>
      </w:r>
      <w:r w:rsidRPr="00401EAD">
        <w:rPr>
          <w:rFonts w:ascii="Book Antiqua" w:eastAsia="Times New Roman" w:hAnsi="Book Antiqua"/>
          <w:i/>
          <w:iCs/>
          <w:color w:val="000000"/>
          <w:sz w:val="24"/>
          <w:szCs w:val="24"/>
        </w:rPr>
        <w:t xml:space="preserve">principle of Lex posteriori derogate legi priori </w:t>
      </w:r>
      <w:r w:rsidRPr="00401EAD">
        <w:rPr>
          <w:rFonts w:ascii="Book Antiqua" w:eastAsia="Times New Roman" w:hAnsi="Book Antiqua"/>
          <w:color w:val="000000"/>
          <w:sz w:val="24"/>
          <w:szCs w:val="24"/>
        </w:rPr>
        <w:t>(the new regulation defeats the old regulation), this principle is very appropriate to be used to answer the problem of the disharmony of these two laws, because Law Number 37 of 2004 concerning Bankruptcy and Postponement of Debt Payment Obligations is newer than Law Number 19 of 2003 concerning State-Owned Enterprises.</w:t>
      </w:r>
    </w:p>
    <w:p w14:paraId="01C450E1" w14:textId="77777777" w:rsidR="004E7F4B" w:rsidRDefault="002E65F9" w:rsidP="004E7F4B">
      <w:pPr>
        <w:spacing w:line="276" w:lineRule="auto"/>
        <w:ind w:left="993"/>
        <w:contextualSpacing/>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 xml:space="preserve">Based on the </w:t>
      </w:r>
      <w:r w:rsidRPr="00401EAD">
        <w:rPr>
          <w:rFonts w:ascii="Book Antiqua" w:eastAsia="Times New Roman" w:hAnsi="Book Antiqua"/>
          <w:i/>
          <w:iCs/>
          <w:color w:val="000000"/>
          <w:sz w:val="24"/>
          <w:szCs w:val="24"/>
        </w:rPr>
        <w:t xml:space="preserve">Lex posteriori derogate legi priori principle </w:t>
      </w:r>
      <w:r>
        <w:rPr>
          <w:rFonts w:ascii="Book Antiqua" w:eastAsia="Times New Roman" w:hAnsi="Book Antiqua"/>
          <w:color w:val="000000"/>
          <w:sz w:val="24"/>
          <w:szCs w:val="24"/>
        </w:rPr>
        <w:t>, it can be concluded that the Minister of Finance has the authority and has an active role in submitting a petition for a declaration of bankruptcy against a State-Owned Enterprise (BUMN) engaged in the public interest (Perum).</w:t>
      </w:r>
    </w:p>
    <w:p w14:paraId="0989766F" w14:textId="635F75D1" w:rsidR="002E65F9" w:rsidRDefault="002E65F9" w:rsidP="004E7F4B">
      <w:pPr>
        <w:spacing w:line="276" w:lineRule="auto"/>
        <w:ind w:left="993"/>
        <w:contextualSpacing/>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The application for a declaration of bankruptcy against a State-Owned Enterprise (BUMN) which is engaged in the field of public interest must be submitted by the Minister of Finance, and if the SOE takes the form of a Persero that wishes to apply for bankruptcy, it can be submitted directly by the creditor or debtor itself without having to go through the Minister of Finance. furthermore, regarding the regulation of bankruptcy of State-Owned Enterprises (BUMN) as a whole, it must refer to Article 2 paragraph (5) of Law Number 37 of 2004 concerning Bankruptcy and Postponement of Debt Payment Obligations, namely BUMN engaged in the public interest are BUMN Perum that can filed for bankruptcy by the Minister of Finance. because there are no other rules that detail the bankruptcy of SOEs.</w:t>
      </w:r>
    </w:p>
    <w:p w14:paraId="406D913B" w14:textId="77777777" w:rsidR="002E65F9" w:rsidRDefault="002E65F9" w:rsidP="00413908">
      <w:pPr>
        <w:spacing w:line="276" w:lineRule="auto"/>
        <w:ind w:left="567" w:hanging="567"/>
        <w:jc w:val="both"/>
        <w:rPr>
          <w:rFonts w:ascii="Book Antiqua" w:eastAsia="Times New Roman" w:hAnsi="Book Antiqua"/>
          <w:b/>
          <w:color w:val="000000"/>
          <w:sz w:val="24"/>
          <w:szCs w:val="24"/>
        </w:rPr>
      </w:pPr>
    </w:p>
    <w:p w14:paraId="007747D5" w14:textId="2CA7131C" w:rsidR="002E65F9" w:rsidRDefault="002E65F9" w:rsidP="00753A27">
      <w:pPr>
        <w:spacing w:line="276" w:lineRule="auto"/>
        <w:ind w:left="567" w:hanging="567"/>
        <w:jc w:val="both"/>
        <w:rPr>
          <w:rFonts w:ascii="Book Antiqua" w:eastAsia="Times New Roman" w:hAnsi="Book Antiqua"/>
          <w:b/>
          <w:color w:val="000000"/>
          <w:sz w:val="24"/>
          <w:szCs w:val="24"/>
        </w:rPr>
      </w:pPr>
      <w:r>
        <w:rPr>
          <w:rFonts w:ascii="Book Antiqua" w:eastAsia="Times New Roman" w:hAnsi="Book Antiqua"/>
          <w:b/>
          <w:color w:val="000000"/>
          <w:sz w:val="24"/>
          <w:szCs w:val="24"/>
        </w:rPr>
        <w:t xml:space="preserve">3.2 </w:t>
      </w:r>
      <w:r>
        <w:rPr>
          <w:rFonts w:ascii="Book Antiqua" w:eastAsia="Times New Roman" w:hAnsi="Book Antiqua"/>
          <w:b/>
          <w:color w:val="000000"/>
          <w:sz w:val="24"/>
          <w:szCs w:val="24"/>
        </w:rPr>
        <w:tab/>
        <w:t>The Role of the Minister of Finance in Filing Bankruptcy Applications Against Bankrupt Debtors of State-Owned Enterprises (BUMN)</w:t>
      </w:r>
    </w:p>
    <w:p w14:paraId="5194E925" w14:textId="77777777" w:rsidR="002E65F9" w:rsidRDefault="002E65F9" w:rsidP="00753A27">
      <w:pPr>
        <w:spacing w:line="276" w:lineRule="auto"/>
        <w:ind w:left="567"/>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The Minister of Finance acts on behalf of the State and can bankrupt a State-Owned Enterprise (BUMN) which is engaged in the public interest in this case is a BUMN in the form of a Public Company (Perum) for the benefit of the State's economy, or as a way to save the country's economy through bankruptcy. , because the one who knows the country's economy as a whole is the Minister of Finance. The role of the Minister of Finance in the bankruptcy of SOEs in accordance with Law Number 37 of 2004 concerning Bankruptcy and Postponement of Debt Payment Obligations is as an applicant for a declaration of bankruptcy against State-Owned Enterprises (BUMN) engaged in the public interest or Perum. If a creditor from a State-Owned Enterprise (BUMN) wishes to apply for bankruptcy, he must first ask the Minister of Finance to request that the Minister of Finance file an application for bankruptcy against the SOE. The role of the Minister of Finance in bankruptcy of a BUMN is very much in tandem with the stages or processes carried out by the Minister of Finance in bankruptcy of a BUMN.</w:t>
      </w:r>
    </w:p>
    <w:p w14:paraId="58C122C8" w14:textId="25323F90" w:rsidR="002E65F9" w:rsidRPr="002E65F9" w:rsidRDefault="002E65F9" w:rsidP="00753A27">
      <w:pPr>
        <w:spacing w:line="276" w:lineRule="auto"/>
        <w:ind w:left="1134" w:hanging="567"/>
        <w:jc w:val="both"/>
        <w:rPr>
          <w:rFonts w:ascii="Book Antiqua" w:eastAsia="Times New Roman" w:hAnsi="Book Antiqua"/>
          <w:b/>
          <w:color w:val="000000"/>
          <w:sz w:val="24"/>
          <w:szCs w:val="24"/>
        </w:rPr>
      </w:pPr>
      <w:r>
        <w:rPr>
          <w:rFonts w:ascii="Book Antiqua" w:eastAsia="Times New Roman" w:hAnsi="Book Antiqua"/>
          <w:b/>
          <w:color w:val="000000"/>
          <w:sz w:val="24"/>
          <w:szCs w:val="24"/>
        </w:rPr>
        <w:t xml:space="preserve">3.1.a </w:t>
      </w:r>
      <w:r>
        <w:rPr>
          <w:rFonts w:ascii="Book Antiqua" w:eastAsia="Times New Roman" w:hAnsi="Book Antiqua"/>
          <w:b/>
          <w:color w:val="000000"/>
          <w:sz w:val="24"/>
          <w:szCs w:val="24"/>
        </w:rPr>
        <w:tab/>
        <w:t>Process for Filing Application for Bankruptcy against BUMN</w:t>
      </w:r>
    </w:p>
    <w:p w14:paraId="56FF34EE" w14:textId="77777777" w:rsidR="004E7F4B" w:rsidRDefault="00413908" w:rsidP="004E7F4B">
      <w:pPr>
        <w:spacing w:line="276" w:lineRule="auto"/>
        <w:ind w:left="1134"/>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lastRenderedPageBreak/>
        <w:t>State-Owned Enterprises (BUMN) engaged in the public interest or BUMN in the form of a Public Company that will be filed for bankruptcy by the Minister of Finance must refer to Law Number 37 of 2004 concerning Bankruptcy and Postponement of Debt Payment Obligations. The stage that will be carried out by the Minister of Finance is to assess whether the SOE is in a state of insolvency or has been able to meet the requirements for bankruptcy.</w:t>
      </w:r>
    </w:p>
    <w:p w14:paraId="173B390C" w14:textId="179E8560" w:rsidR="00413908" w:rsidRPr="00401EAD" w:rsidRDefault="00413908" w:rsidP="004E7F4B">
      <w:pPr>
        <w:spacing w:line="276" w:lineRule="auto"/>
        <w:ind w:left="1134"/>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In relation to the process of submitting an application for a declaration of bankruptcy conducted by the Minister of Finance, the Minister of Finance must pay attention to the documents or letters that must be fulfilled or attached, namely as follows:</w:t>
      </w:r>
      <w:r w:rsidRPr="00401EAD">
        <w:rPr>
          <w:rStyle w:val="FootnoteReference"/>
          <w:rFonts w:ascii="Book Antiqua" w:eastAsia="Times New Roman" w:hAnsi="Book Antiqua"/>
          <w:color w:val="000000"/>
          <w:sz w:val="24"/>
          <w:szCs w:val="24"/>
        </w:rPr>
        <w:footnoteReference w:id="14"/>
      </w:r>
    </w:p>
    <w:p w14:paraId="5608519B" w14:textId="77777777" w:rsidR="00413908" w:rsidRPr="00401EAD" w:rsidRDefault="00413908" w:rsidP="004E7F4B">
      <w:pPr>
        <w:pStyle w:val="ListParagraph"/>
        <w:numPr>
          <w:ilvl w:val="0"/>
          <w:numId w:val="46"/>
        </w:numPr>
        <w:spacing w:after="0" w:line="240" w:lineRule="auto"/>
        <w:ind w:left="1418" w:hanging="284"/>
        <w:jc w:val="both"/>
        <w:rPr>
          <w:rFonts w:ascii="Book Antiqua" w:eastAsia="Times New Roman" w:hAnsi="Book Antiqua"/>
          <w:color w:val="000000"/>
          <w:sz w:val="24"/>
          <w:szCs w:val="24"/>
          <w:lang w:val="en-US"/>
        </w:rPr>
      </w:pPr>
      <w:r w:rsidRPr="00401EAD">
        <w:rPr>
          <w:rFonts w:ascii="Book Antiqua" w:eastAsia="Times New Roman" w:hAnsi="Book Antiqua"/>
          <w:color w:val="000000"/>
          <w:sz w:val="24"/>
          <w:szCs w:val="24"/>
          <w:lang w:val="en-US"/>
        </w:rPr>
        <w:t>Stamped application letter addressed to the Head of the District Court/Commercial Court.</w:t>
      </w:r>
    </w:p>
    <w:p w14:paraId="182F95C1" w14:textId="77777777" w:rsidR="00413908" w:rsidRPr="00401EAD" w:rsidRDefault="00413908" w:rsidP="004E7F4B">
      <w:pPr>
        <w:pStyle w:val="ListParagraph"/>
        <w:numPr>
          <w:ilvl w:val="0"/>
          <w:numId w:val="46"/>
        </w:numPr>
        <w:spacing w:after="0" w:line="240" w:lineRule="auto"/>
        <w:ind w:left="1418" w:hanging="284"/>
        <w:jc w:val="both"/>
        <w:rPr>
          <w:rFonts w:ascii="Book Antiqua" w:eastAsia="Times New Roman" w:hAnsi="Book Antiqua"/>
          <w:color w:val="000000"/>
          <w:sz w:val="24"/>
          <w:szCs w:val="24"/>
          <w:lang w:val="en-US"/>
        </w:rPr>
      </w:pPr>
      <w:r w:rsidRPr="00401EAD">
        <w:rPr>
          <w:rFonts w:ascii="Book Antiqua" w:eastAsia="Times New Roman" w:hAnsi="Book Antiqua"/>
          <w:color w:val="000000"/>
          <w:sz w:val="24"/>
          <w:szCs w:val="24"/>
          <w:lang w:val="en-US"/>
        </w:rPr>
        <w:t>Lawyer Permit/lawyer card.</w:t>
      </w:r>
    </w:p>
    <w:p w14:paraId="7490DCE9" w14:textId="77777777" w:rsidR="00413908" w:rsidRPr="00401EAD" w:rsidRDefault="00413908" w:rsidP="004E7F4B">
      <w:pPr>
        <w:pStyle w:val="ListParagraph"/>
        <w:numPr>
          <w:ilvl w:val="0"/>
          <w:numId w:val="46"/>
        </w:numPr>
        <w:spacing w:after="0" w:line="240" w:lineRule="auto"/>
        <w:ind w:left="1418" w:hanging="284"/>
        <w:jc w:val="both"/>
        <w:rPr>
          <w:rFonts w:ascii="Book Antiqua" w:eastAsia="Times New Roman" w:hAnsi="Book Antiqua"/>
          <w:color w:val="000000"/>
          <w:sz w:val="24"/>
          <w:szCs w:val="24"/>
          <w:lang w:val="en-US"/>
        </w:rPr>
      </w:pPr>
      <w:r w:rsidRPr="00401EAD">
        <w:rPr>
          <w:rFonts w:ascii="Book Antiqua" w:eastAsia="Times New Roman" w:hAnsi="Book Antiqua"/>
          <w:color w:val="000000"/>
          <w:sz w:val="24"/>
          <w:szCs w:val="24"/>
          <w:lang w:val="en-US"/>
        </w:rPr>
        <w:t>Special Power of Attorney</w:t>
      </w:r>
    </w:p>
    <w:p w14:paraId="7477C1A4" w14:textId="77777777" w:rsidR="00413908" w:rsidRPr="00401EAD" w:rsidRDefault="00413908" w:rsidP="004E7F4B">
      <w:pPr>
        <w:pStyle w:val="ListParagraph"/>
        <w:numPr>
          <w:ilvl w:val="0"/>
          <w:numId w:val="46"/>
        </w:numPr>
        <w:spacing w:after="0" w:line="240" w:lineRule="auto"/>
        <w:ind w:left="1418" w:hanging="284"/>
        <w:jc w:val="both"/>
        <w:rPr>
          <w:rFonts w:ascii="Book Antiqua" w:eastAsia="Times New Roman" w:hAnsi="Book Antiqua"/>
          <w:color w:val="000000"/>
          <w:sz w:val="24"/>
          <w:szCs w:val="24"/>
          <w:lang w:val="en-US"/>
        </w:rPr>
      </w:pPr>
      <w:r w:rsidRPr="00401EAD">
        <w:rPr>
          <w:rFonts w:ascii="Book Antiqua" w:eastAsia="Times New Roman" w:hAnsi="Book Antiqua"/>
          <w:color w:val="000000"/>
          <w:sz w:val="24"/>
          <w:szCs w:val="24"/>
          <w:lang w:val="en-US"/>
        </w:rPr>
        <w:t>Company Registration Certificate (Company Registration Certificate)/Foundation/Association legalized (stamped) by the Trade Office no later than 1 (one) week before the application is registered.</w:t>
      </w:r>
    </w:p>
    <w:p w14:paraId="314C991B" w14:textId="77777777" w:rsidR="00413908" w:rsidRPr="00401EAD" w:rsidRDefault="00413908" w:rsidP="004E7F4B">
      <w:pPr>
        <w:pStyle w:val="ListParagraph"/>
        <w:numPr>
          <w:ilvl w:val="0"/>
          <w:numId w:val="46"/>
        </w:numPr>
        <w:spacing w:after="0" w:line="240" w:lineRule="auto"/>
        <w:ind w:left="1418" w:hanging="284"/>
        <w:jc w:val="both"/>
        <w:rPr>
          <w:rFonts w:ascii="Book Antiqua" w:eastAsia="Times New Roman" w:hAnsi="Book Antiqua"/>
          <w:color w:val="000000"/>
          <w:sz w:val="24"/>
          <w:szCs w:val="24"/>
          <w:lang w:val="en-US"/>
        </w:rPr>
      </w:pPr>
      <w:r w:rsidRPr="00401EAD">
        <w:rPr>
          <w:rFonts w:ascii="Book Antiqua" w:eastAsia="Times New Roman" w:hAnsi="Book Antiqua"/>
          <w:color w:val="000000"/>
          <w:sz w:val="24"/>
          <w:szCs w:val="24"/>
          <w:lang w:val="en-US"/>
        </w:rPr>
        <w:t>Debt Agreement or other evidence showing the existence of debt.</w:t>
      </w:r>
    </w:p>
    <w:p w14:paraId="629A6345" w14:textId="77777777" w:rsidR="00413908" w:rsidRPr="00401EAD" w:rsidRDefault="00413908" w:rsidP="004E7F4B">
      <w:pPr>
        <w:pStyle w:val="ListParagraph"/>
        <w:numPr>
          <w:ilvl w:val="0"/>
          <w:numId w:val="46"/>
        </w:numPr>
        <w:spacing w:after="0" w:line="240" w:lineRule="auto"/>
        <w:ind w:left="1418" w:hanging="284"/>
        <w:jc w:val="both"/>
        <w:rPr>
          <w:rFonts w:ascii="Book Antiqua" w:eastAsia="Times New Roman" w:hAnsi="Book Antiqua"/>
          <w:color w:val="000000"/>
          <w:sz w:val="24"/>
          <w:szCs w:val="24"/>
          <w:lang w:val="en-US"/>
        </w:rPr>
      </w:pPr>
      <w:r w:rsidRPr="00401EAD">
        <w:rPr>
          <w:rFonts w:ascii="Book Antiqua" w:eastAsia="Times New Roman" w:hAnsi="Book Antiqua"/>
          <w:color w:val="000000"/>
          <w:sz w:val="24"/>
          <w:szCs w:val="24"/>
          <w:lang w:val="en-US"/>
        </w:rPr>
        <w:t>Unpaid debt details.</w:t>
      </w:r>
    </w:p>
    <w:p w14:paraId="57DF2C53" w14:textId="77777777" w:rsidR="00413908" w:rsidRPr="00401EAD" w:rsidRDefault="00413908" w:rsidP="004E7F4B">
      <w:pPr>
        <w:pStyle w:val="ListParagraph"/>
        <w:numPr>
          <w:ilvl w:val="0"/>
          <w:numId w:val="46"/>
        </w:numPr>
        <w:spacing w:after="0" w:line="240" w:lineRule="auto"/>
        <w:ind w:left="1418" w:hanging="284"/>
        <w:jc w:val="both"/>
        <w:rPr>
          <w:rFonts w:ascii="Book Antiqua" w:eastAsia="Times New Roman" w:hAnsi="Book Antiqua"/>
          <w:color w:val="000000"/>
          <w:sz w:val="24"/>
          <w:szCs w:val="24"/>
          <w:lang w:val="en-US"/>
        </w:rPr>
      </w:pPr>
      <w:r w:rsidRPr="00401EAD">
        <w:rPr>
          <w:rFonts w:ascii="Book Antiqua" w:eastAsia="Times New Roman" w:hAnsi="Book Antiqua"/>
          <w:color w:val="000000"/>
          <w:sz w:val="24"/>
          <w:szCs w:val="24"/>
          <w:lang w:val="en-US"/>
        </w:rPr>
        <w:t>Name and address of each creditor/debtor.</w:t>
      </w:r>
    </w:p>
    <w:p w14:paraId="4960C7E8" w14:textId="77777777" w:rsidR="004E7F4B" w:rsidRDefault="00117CC7" w:rsidP="004E7F4B">
      <w:pPr>
        <w:spacing w:line="276" w:lineRule="auto"/>
        <w:ind w:left="1134"/>
        <w:jc w:val="both"/>
        <w:rPr>
          <w:rFonts w:ascii="Book Antiqua" w:eastAsia="Times New Roman" w:hAnsi="Book Antiqua"/>
          <w:color w:val="000000"/>
          <w:sz w:val="24"/>
          <w:szCs w:val="24"/>
        </w:rPr>
      </w:pPr>
      <w:r w:rsidRPr="00117CC7">
        <w:rPr>
          <w:rFonts w:ascii="Book Antiqua" w:eastAsia="Times New Roman" w:hAnsi="Book Antiqua"/>
          <w:color w:val="000000"/>
          <w:sz w:val="24"/>
          <w:szCs w:val="24"/>
        </w:rPr>
        <w:t>The Minister of Finance does not need an advocate to file a bankruptcy petition, because if it refers to Article 7 paragraph (2) of Law no. 37 of 2004 concerning Bankruptcy and Suspension of Debt Payment Obligations The provisions referred to in Article 7 paragraph (1) which must be submitted by an advocate do not apply in the event that the application is submitted by the prosecutor's office, Bank Indonesia, the Capital Market Supervisory Agency, and the Minister of Finance. So the Minister of Finance can directly file a petition for a declaration of bankruptcy against BUMN to the Chairperson of the Court without having to go through an advocate.</w:t>
      </w:r>
    </w:p>
    <w:p w14:paraId="777BD113" w14:textId="20E1FBC8" w:rsidR="00117CC7" w:rsidRDefault="00117CC7" w:rsidP="004E7F4B">
      <w:pPr>
        <w:spacing w:line="276" w:lineRule="auto"/>
        <w:ind w:left="1134"/>
        <w:jc w:val="both"/>
        <w:rPr>
          <w:rFonts w:ascii="Book Antiqua" w:eastAsia="Times New Roman" w:hAnsi="Book Antiqua"/>
          <w:color w:val="000000"/>
          <w:sz w:val="24"/>
          <w:szCs w:val="24"/>
        </w:rPr>
      </w:pPr>
      <w:r w:rsidRPr="00117CC7">
        <w:rPr>
          <w:rFonts w:ascii="Book Antiqua" w:eastAsia="Times New Roman" w:hAnsi="Book Antiqua"/>
          <w:color w:val="000000"/>
          <w:sz w:val="24"/>
          <w:szCs w:val="24"/>
        </w:rPr>
        <w:t xml:space="preserve">The registration of a bankruptcy application against a State-Owned Enterprise (BUMN) by the Minister of Finance must be submitted in accordance with the requirements stipulated in Law Number 37 of 2004 concerning Bankruptcy and Suspension of Debt Payment Obligations. The process mechanism </w:t>
      </w:r>
      <w:r>
        <w:rPr>
          <w:rFonts w:ascii="Book Antiqua" w:eastAsia="Times New Roman" w:hAnsi="Book Antiqua"/>
          <w:color w:val="000000"/>
          <w:sz w:val="24"/>
          <w:szCs w:val="24"/>
        </w:rPr>
        <w:t>is as follows:</w:t>
      </w:r>
    </w:p>
    <w:p w14:paraId="168DDAF7" w14:textId="686F52EC" w:rsidR="00117CC7" w:rsidRPr="00401EAD" w:rsidRDefault="00117CC7" w:rsidP="004E7F4B">
      <w:pPr>
        <w:spacing w:line="276" w:lineRule="auto"/>
        <w:ind w:left="1418" w:hanging="284"/>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 xml:space="preserve">1. </w:t>
      </w:r>
      <w:r>
        <w:rPr>
          <w:rFonts w:ascii="Book Antiqua" w:eastAsia="Times New Roman" w:hAnsi="Book Antiqua"/>
          <w:color w:val="000000"/>
          <w:sz w:val="24"/>
          <w:szCs w:val="24"/>
        </w:rPr>
        <w:tab/>
      </w:r>
      <w:r w:rsidRPr="00401EAD">
        <w:rPr>
          <w:rFonts w:ascii="Book Antiqua" w:eastAsia="Times New Roman" w:hAnsi="Book Antiqua"/>
          <w:color w:val="000000"/>
          <w:sz w:val="24"/>
          <w:szCs w:val="24"/>
        </w:rPr>
        <w:t xml:space="preserve">The petition for declaration of bankruptcy shall be submitted to the chairman of the Court. </w:t>
      </w:r>
      <w:r w:rsidRPr="00401EAD">
        <w:rPr>
          <w:rStyle w:val="FootnoteReference"/>
          <w:rFonts w:ascii="Book Antiqua" w:eastAsia="Times New Roman" w:hAnsi="Book Antiqua"/>
          <w:color w:val="000000"/>
          <w:sz w:val="24"/>
          <w:szCs w:val="24"/>
        </w:rPr>
        <w:footnoteReference w:id="15"/>
      </w:r>
      <w:r w:rsidRPr="00401EAD">
        <w:rPr>
          <w:rFonts w:ascii="Book Antiqua" w:eastAsia="Times New Roman" w:hAnsi="Book Antiqua"/>
          <w:color w:val="000000"/>
          <w:sz w:val="24"/>
          <w:szCs w:val="24"/>
        </w:rPr>
        <w:t>in this case the Minister of Finance must make an application for a declaration of bankruptcy which is submitted to the Chairperson of the Court.</w:t>
      </w:r>
    </w:p>
    <w:p w14:paraId="5B15E9F4" w14:textId="11CD0852" w:rsidR="00117CC7" w:rsidRPr="00401EAD" w:rsidRDefault="00117CC7" w:rsidP="004E7F4B">
      <w:pPr>
        <w:spacing w:line="276" w:lineRule="auto"/>
        <w:ind w:left="1418" w:hanging="284"/>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lastRenderedPageBreak/>
        <w:t xml:space="preserve">2. The </w:t>
      </w:r>
      <w:r>
        <w:rPr>
          <w:rFonts w:ascii="Book Antiqua" w:eastAsia="Times New Roman" w:hAnsi="Book Antiqua"/>
          <w:color w:val="000000"/>
          <w:sz w:val="24"/>
          <w:szCs w:val="24"/>
        </w:rPr>
        <w:tab/>
      </w:r>
      <w:r w:rsidRPr="00401EAD">
        <w:rPr>
          <w:rFonts w:ascii="Book Antiqua" w:eastAsia="Times New Roman" w:hAnsi="Book Antiqua"/>
          <w:color w:val="000000"/>
          <w:sz w:val="24"/>
          <w:szCs w:val="24"/>
        </w:rPr>
        <w:t>Registrar registers the application for a declaration of bankruptcy on the date the application is filed, and the applicant is given a receipt signed by the competent authority on the same date as the date of registration.</w:t>
      </w:r>
      <w:r w:rsidRPr="00401EAD">
        <w:rPr>
          <w:rStyle w:val="FootnoteReference"/>
          <w:rFonts w:ascii="Book Antiqua" w:eastAsia="Times New Roman" w:hAnsi="Book Antiqua"/>
          <w:color w:val="000000"/>
          <w:sz w:val="24"/>
          <w:szCs w:val="24"/>
        </w:rPr>
        <w:footnoteReference w:id="16"/>
      </w:r>
    </w:p>
    <w:p w14:paraId="72BD26A1" w14:textId="01C4EA70" w:rsidR="00117CC7" w:rsidRPr="00401EAD" w:rsidRDefault="00117CC7" w:rsidP="004E7F4B">
      <w:pPr>
        <w:spacing w:line="276" w:lineRule="auto"/>
        <w:ind w:left="1418" w:hanging="284"/>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 xml:space="preserve">3. </w:t>
      </w:r>
      <w:r>
        <w:rPr>
          <w:rFonts w:ascii="Book Antiqua" w:eastAsia="Times New Roman" w:hAnsi="Book Antiqua"/>
          <w:color w:val="000000"/>
          <w:sz w:val="24"/>
          <w:szCs w:val="24"/>
        </w:rPr>
        <w:tab/>
      </w:r>
      <w:r w:rsidRPr="00401EAD">
        <w:rPr>
          <w:rFonts w:ascii="Book Antiqua" w:eastAsia="Times New Roman" w:hAnsi="Book Antiqua"/>
          <w:color w:val="000000"/>
          <w:sz w:val="24"/>
          <w:szCs w:val="24"/>
        </w:rPr>
        <w:t>The Registrar shall submit the application for a declaration of Bankruptcy to the Chief Justice of the Court no later than 2 (two) days after the date the application is registered.</w:t>
      </w:r>
      <w:r w:rsidRPr="00401EAD">
        <w:rPr>
          <w:rStyle w:val="FootnoteReference"/>
          <w:rFonts w:ascii="Book Antiqua" w:eastAsia="Times New Roman" w:hAnsi="Book Antiqua"/>
          <w:color w:val="000000"/>
          <w:sz w:val="24"/>
          <w:szCs w:val="24"/>
        </w:rPr>
        <w:footnoteReference w:id="17"/>
      </w:r>
    </w:p>
    <w:p w14:paraId="6600E83A" w14:textId="58EDBE7B" w:rsidR="002E65F9" w:rsidRDefault="00117CC7" w:rsidP="004E7F4B">
      <w:pPr>
        <w:spacing w:line="276" w:lineRule="auto"/>
        <w:ind w:left="1418" w:hanging="284"/>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 xml:space="preserve">4. </w:t>
      </w:r>
      <w:r>
        <w:rPr>
          <w:rFonts w:ascii="Book Antiqua" w:eastAsia="Times New Roman" w:hAnsi="Book Antiqua"/>
          <w:color w:val="000000"/>
          <w:sz w:val="24"/>
          <w:szCs w:val="24"/>
        </w:rPr>
        <w:tab/>
      </w:r>
      <w:r w:rsidRPr="00401EAD">
        <w:rPr>
          <w:rFonts w:ascii="Book Antiqua" w:eastAsia="Times New Roman" w:hAnsi="Book Antiqua"/>
          <w:color w:val="000000"/>
          <w:sz w:val="24"/>
          <w:szCs w:val="24"/>
        </w:rPr>
        <w:t>Within a period of no later than 3 (three) days after the date on which the petition for declaration of bankruptcy is registered, the court shall study the petition and determine the day of the trial.</w:t>
      </w:r>
      <w:r w:rsidRPr="00401EAD">
        <w:rPr>
          <w:rStyle w:val="FootnoteReference"/>
          <w:rFonts w:ascii="Book Antiqua" w:eastAsia="Times New Roman" w:hAnsi="Book Antiqua"/>
          <w:color w:val="000000"/>
          <w:sz w:val="24"/>
          <w:szCs w:val="24"/>
        </w:rPr>
        <w:footnoteReference w:id="18"/>
      </w:r>
    </w:p>
    <w:p w14:paraId="7741D109" w14:textId="77777777" w:rsidR="00753A27" w:rsidRDefault="00753A27" w:rsidP="004E7F4B">
      <w:pPr>
        <w:spacing w:line="276" w:lineRule="auto"/>
        <w:ind w:left="1134"/>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 xml:space="preserve">Before the trial begins, the court through the bailiff shall summon the parties by registered express letter no later than 7 (seven) days before the examination hearing is held. </w:t>
      </w:r>
      <w:r w:rsidRPr="00401EAD">
        <w:rPr>
          <w:rStyle w:val="FootnoteReference"/>
          <w:rFonts w:ascii="Book Antiqua" w:eastAsia="Times New Roman" w:hAnsi="Book Antiqua"/>
          <w:color w:val="000000"/>
          <w:sz w:val="24"/>
          <w:szCs w:val="24"/>
        </w:rPr>
        <w:footnoteReference w:id="19"/>
      </w:r>
      <w:r w:rsidRPr="00401EAD">
        <w:rPr>
          <w:rFonts w:ascii="Book Antiqua" w:eastAsia="Times New Roman" w:hAnsi="Book Antiqua"/>
          <w:color w:val="000000"/>
          <w:sz w:val="24"/>
          <w:szCs w:val="24"/>
        </w:rPr>
        <w:t>These calls include the following:</w:t>
      </w:r>
      <w:r w:rsidRPr="00401EAD">
        <w:rPr>
          <w:rStyle w:val="FootnoteReference"/>
          <w:rFonts w:ascii="Book Antiqua" w:eastAsia="Times New Roman" w:hAnsi="Book Antiqua"/>
          <w:color w:val="000000"/>
          <w:sz w:val="24"/>
          <w:szCs w:val="24"/>
        </w:rPr>
        <w:footnoteReference w:id="20"/>
      </w:r>
      <w:r w:rsidRPr="00401EAD">
        <w:rPr>
          <w:rFonts w:ascii="Book Antiqua" w:eastAsia="Times New Roman" w:hAnsi="Book Antiqua"/>
          <w:color w:val="000000"/>
          <w:sz w:val="24"/>
          <w:szCs w:val="24"/>
        </w:rPr>
        <w:t xml:space="preserve"> </w:t>
      </w:r>
    </w:p>
    <w:p w14:paraId="2AD9E754" w14:textId="77777777" w:rsidR="00753A27" w:rsidRPr="00401EAD" w:rsidRDefault="00753A27" w:rsidP="004E7F4B">
      <w:pPr>
        <w:pStyle w:val="ListParagraph"/>
        <w:numPr>
          <w:ilvl w:val="0"/>
          <w:numId w:val="47"/>
        </w:numPr>
        <w:spacing w:after="0"/>
        <w:ind w:left="1418" w:hanging="284"/>
        <w:jc w:val="both"/>
        <w:rPr>
          <w:rFonts w:ascii="Book Antiqua" w:eastAsia="Times New Roman" w:hAnsi="Book Antiqua"/>
          <w:color w:val="000000"/>
          <w:sz w:val="24"/>
          <w:szCs w:val="24"/>
          <w:lang w:val="en-US"/>
        </w:rPr>
      </w:pPr>
      <w:r w:rsidRPr="00401EAD">
        <w:rPr>
          <w:rFonts w:ascii="Book Antiqua" w:eastAsia="Times New Roman" w:hAnsi="Book Antiqua"/>
          <w:color w:val="000000"/>
          <w:sz w:val="24"/>
          <w:szCs w:val="24"/>
          <w:lang w:val="en-US"/>
        </w:rPr>
        <w:t>Obligation to summon the Debtor, in the event that the application for a declaration of bankruptcy is submitted by the Creditor, the Prosecutor's Office, Bank Indonesia, the Capital Market Supervisory Agency, or the Minister of Finance.</w:t>
      </w:r>
    </w:p>
    <w:p w14:paraId="048C46AE" w14:textId="77777777" w:rsidR="00753A27" w:rsidRDefault="00753A27" w:rsidP="004E7F4B">
      <w:pPr>
        <w:pStyle w:val="ListParagraph"/>
        <w:numPr>
          <w:ilvl w:val="0"/>
          <w:numId w:val="47"/>
        </w:numPr>
        <w:spacing w:after="0"/>
        <w:ind w:left="1418" w:hanging="284"/>
        <w:jc w:val="both"/>
        <w:rPr>
          <w:rFonts w:ascii="Book Antiqua" w:eastAsia="Times New Roman" w:hAnsi="Book Antiqua"/>
          <w:color w:val="000000"/>
          <w:sz w:val="24"/>
          <w:szCs w:val="24"/>
          <w:lang w:val="en-US"/>
        </w:rPr>
      </w:pPr>
      <w:r w:rsidRPr="00401EAD">
        <w:rPr>
          <w:rFonts w:ascii="Book Antiqua" w:eastAsia="Times New Roman" w:hAnsi="Book Antiqua"/>
          <w:color w:val="000000"/>
          <w:sz w:val="24"/>
          <w:szCs w:val="24"/>
          <w:lang w:val="en-US"/>
        </w:rPr>
        <w:t>Can summon Creditors, in the event that the application for declaration of bankruptcy is submitted by the Debtor and there is doubt that the requirements to be declared bankrupt as referred to in Article 2 paragraph (1) have been fulfilled.</w:t>
      </w:r>
    </w:p>
    <w:p w14:paraId="239A423E" w14:textId="77777777" w:rsidR="00753A27" w:rsidRDefault="00753A27" w:rsidP="004E7F4B">
      <w:pPr>
        <w:spacing w:line="276" w:lineRule="auto"/>
        <w:ind w:left="1134"/>
        <w:jc w:val="both"/>
        <w:rPr>
          <w:rFonts w:ascii="Book Antiqua" w:eastAsia="Times New Roman" w:hAnsi="Book Antiqua"/>
          <w:color w:val="000000"/>
          <w:sz w:val="24"/>
          <w:szCs w:val="24"/>
        </w:rPr>
      </w:pPr>
      <w:r w:rsidRPr="00753A27">
        <w:rPr>
          <w:rFonts w:ascii="Book Antiqua" w:eastAsia="Times New Roman" w:hAnsi="Book Antiqua"/>
          <w:color w:val="000000"/>
          <w:sz w:val="24"/>
          <w:szCs w:val="24"/>
        </w:rPr>
        <w:t>Then a hearing will be held. The hearing on the petition for a declaration of bankruptcy shall be held no later than 20 (twenty) days after the date the petition is registered.</w:t>
      </w:r>
      <w:r w:rsidRPr="00401EAD">
        <w:rPr>
          <w:rStyle w:val="FootnoteReference"/>
          <w:rFonts w:ascii="Book Antiqua" w:eastAsia="Times New Roman" w:hAnsi="Book Antiqua"/>
          <w:color w:val="000000"/>
          <w:sz w:val="24"/>
          <w:szCs w:val="24"/>
        </w:rPr>
        <w:footnoteReference w:id="21"/>
      </w:r>
    </w:p>
    <w:p w14:paraId="3BEE77FD" w14:textId="77777777" w:rsidR="004E7F4B" w:rsidRDefault="00753A27" w:rsidP="004E7F4B">
      <w:pPr>
        <w:spacing w:line="276" w:lineRule="auto"/>
        <w:ind w:left="1134"/>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 xml:space="preserve">The application for a declaration of bankruptcy submitted by the Minister of Finance must be granted if there are facts or circumstances that are simply proven that the requirements to be declared bankrupt as referred to in Article 2 paragraph (1) have been met </w:t>
      </w:r>
      <w:r w:rsidRPr="00401EAD">
        <w:rPr>
          <w:rStyle w:val="FootnoteReference"/>
          <w:rFonts w:ascii="Book Antiqua" w:eastAsia="Times New Roman" w:hAnsi="Book Antiqua"/>
          <w:color w:val="000000"/>
          <w:sz w:val="24"/>
          <w:szCs w:val="24"/>
        </w:rPr>
        <w:footnoteReference w:id="22"/>
      </w:r>
      <w:r w:rsidRPr="00401EAD">
        <w:rPr>
          <w:rFonts w:ascii="Book Antiqua" w:eastAsia="Times New Roman" w:hAnsi="Book Antiqua"/>
          <w:color w:val="000000"/>
          <w:sz w:val="24"/>
          <w:szCs w:val="24"/>
        </w:rPr>
        <w:t>. have two or more creditors who do not pay off one debt that is due and collectible. then the Court's Decision on the petition for a declaration of bankruptcy will be pronounced no later than 60 (sixty) days after the date on which the petition for a declaration of bankruptcy is registered.</w:t>
      </w:r>
      <w:r w:rsidRPr="00401EAD">
        <w:rPr>
          <w:rStyle w:val="FootnoteReference"/>
          <w:rFonts w:ascii="Book Antiqua" w:eastAsia="Times New Roman" w:hAnsi="Book Antiqua"/>
          <w:color w:val="000000"/>
          <w:sz w:val="24"/>
          <w:szCs w:val="24"/>
        </w:rPr>
        <w:footnoteReference w:id="23"/>
      </w:r>
    </w:p>
    <w:p w14:paraId="733C9E68" w14:textId="77777777" w:rsidR="004E7F4B" w:rsidRDefault="00753A27" w:rsidP="004E7F4B">
      <w:pPr>
        <w:spacing w:line="276" w:lineRule="auto"/>
        <w:ind w:left="1134"/>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 xml:space="preserve">The Court's decision must also contain certain articles of the relevant laws and regulations and/or unwritten legal sources which are used as the basis for </w:t>
      </w:r>
      <w:r w:rsidRPr="00401EAD">
        <w:rPr>
          <w:rFonts w:ascii="Book Antiqua" w:eastAsia="Times New Roman" w:hAnsi="Book Antiqua"/>
          <w:color w:val="000000"/>
          <w:sz w:val="24"/>
          <w:szCs w:val="24"/>
        </w:rPr>
        <w:lastRenderedPageBreak/>
        <w:t>adjudicating and legal considerations and opinions differing from the member judges or the chair of the panel.</w:t>
      </w:r>
      <w:r w:rsidRPr="00401EAD">
        <w:rPr>
          <w:rStyle w:val="FootnoteReference"/>
          <w:rFonts w:ascii="Book Antiqua" w:eastAsia="Times New Roman" w:hAnsi="Book Antiqua"/>
          <w:color w:val="000000"/>
          <w:sz w:val="24"/>
          <w:szCs w:val="24"/>
        </w:rPr>
        <w:footnoteReference w:id="24"/>
      </w:r>
    </w:p>
    <w:p w14:paraId="14ECEB5D" w14:textId="7795E2CE" w:rsidR="00753A27" w:rsidRDefault="00753A27" w:rsidP="004E7F4B">
      <w:pPr>
        <w:spacing w:line="276" w:lineRule="auto"/>
        <w:ind w:left="1134"/>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 xml:space="preserve">The decision on the petition for declaration of bankruptcy as referred to in paragraph (6) which contains in full the legal considerations underlying the decision must be pronounced in a trial open to the public and can be implemented first, even though a legal remedy is filed against the decision. </w:t>
      </w:r>
      <w:r w:rsidRPr="00401EAD">
        <w:rPr>
          <w:rStyle w:val="FootnoteReference"/>
          <w:rFonts w:ascii="Book Antiqua" w:eastAsia="Times New Roman" w:hAnsi="Book Antiqua"/>
          <w:color w:val="000000"/>
          <w:sz w:val="24"/>
          <w:szCs w:val="24"/>
        </w:rPr>
        <w:footnoteReference w:id="25"/>
      </w:r>
      <w:r w:rsidRPr="00401EAD">
        <w:rPr>
          <w:rFonts w:ascii="Book Antiqua" w:eastAsia="Times New Roman" w:hAnsi="Book Antiqua"/>
          <w:color w:val="000000"/>
          <w:sz w:val="24"/>
          <w:szCs w:val="24"/>
        </w:rPr>
        <w:t>If the Minister of Finance objects or feels that the decision on the bankruptcy petition is not appropriate, then the legal remedies that can be submitted against the decision on the petition for declaration of bankruptcy are cassation to the Supreme Court.</w:t>
      </w:r>
    </w:p>
    <w:p w14:paraId="595D7C18" w14:textId="2E9C29A3" w:rsidR="00753A27" w:rsidRDefault="00753A27" w:rsidP="00753A27">
      <w:pPr>
        <w:spacing w:line="276" w:lineRule="auto"/>
        <w:ind w:left="1134" w:hanging="567"/>
        <w:jc w:val="both"/>
        <w:rPr>
          <w:rFonts w:ascii="Book Antiqua" w:eastAsia="Times New Roman" w:hAnsi="Book Antiqua"/>
          <w:b/>
          <w:color w:val="000000"/>
          <w:sz w:val="24"/>
          <w:szCs w:val="24"/>
        </w:rPr>
      </w:pPr>
      <w:r>
        <w:rPr>
          <w:rFonts w:ascii="Book Antiqua" w:eastAsia="Times New Roman" w:hAnsi="Book Antiqua"/>
          <w:b/>
          <w:color w:val="000000"/>
          <w:sz w:val="24"/>
          <w:szCs w:val="24"/>
        </w:rPr>
        <w:t xml:space="preserve">3.1.b </w:t>
      </w:r>
      <w:r>
        <w:rPr>
          <w:rFonts w:ascii="Book Antiqua" w:eastAsia="Times New Roman" w:hAnsi="Book Antiqua"/>
          <w:b/>
          <w:color w:val="000000"/>
          <w:sz w:val="24"/>
          <w:szCs w:val="24"/>
        </w:rPr>
        <w:tab/>
        <w:t>Process of Filing Application for Bankruptcy by BUMN Creditors to the Minister of Finance.</w:t>
      </w:r>
    </w:p>
    <w:p w14:paraId="263C566B" w14:textId="77777777" w:rsidR="004E7F4B" w:rsidRDefault="00753A27" w:rsidP="004E7F4B">
      <w:pPr>
        <w:spacing w:line="276" w:lineRule="auto"/>
        <w:ind w:left="1134"/>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Initiatives from BUMN creditors who feel that a BUMN cannot pay their debts who want to go bankrupt must go through the Minister of Finance. In this case, the Creditors must submit their application to the Minister of Finance.</w:t>
      </w:r>
    </w:p>
    <w:p w14:paraId="7D40A461" w14:textId="77777777" w:rsidR="004E7F4B" w:rsidRDefault="00753A27" w:rsidP="004E7F4B">
      <w:pPr>
        <w:spacing w:line="276" w:lineRule="auto"/>
        <w:ind w:left="1134"/>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The submission of a request for bankruptcy of SOEs is addressed to the Minister of Finance through the Legal Bureau for State Assets, Company, and Legal Information.</w:t>
      </w:r>
    </w:p>
    <w:p w14:paraId="0C6348E2" w14:textId="77777777" w:rsidR="004E7F4B" w:rsidRDefault="00753A27" w:rsidP="004E7F4B">
      <w:pPr>
        <w:spacing w:line="276" w:lineRule="auto"/>
        <w:ind w:left="1134"/>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 xml:space="preserve">The legal bureau of the State Property Law, Company, and Legal Information section has the task of carrying out research/study on the </w:t>
      </w:r>
      <w:r w:rsidRPr="00401EAD">
        <w:rPr>
          <w:rFonts w:ascii="Book Antiqua" w:eastAsia="Times New Roman" w:hAnsi="Book Antiqua"/>
          <w:i/>
          <w:iCs/>
          <w:color w:val="000000"/>
          <w:sz w:val="24"/>
          <w:szCs w:val="24"/>
        </w:rPr>
        <w:t xml:space="preserve">legal drafting </w:t>
      </w:r>
      <w:r w:rsidRPr="00401EAD">
        <w:rPr>
          <w:rFonts w:ascii="Book Antiqua" w:eastAsia="Times New Roman" w:hAnsi="Book Antiqua"/>
          <w:color w:val="000000"/>
          <w:sz w:val="24"/>
          <w:szCs w:val="24"/>
        </w:rPr>
        <w:t>of regulatory or stipulating laws and regulations and their processing, and research/study on the juridical aspects of legal issues and/or providing legal considerations in the context of settlement. legal issues in the field of State Property, separated state assets, other state assets, state receivables, auctions, and companies, as well as organizing documentation, information, and legal dissemination.</w:t>
      </w:r>
      <w:r w:rsidRPr="00401EAD">
        <w:rPr>
          <w:rStyle w:val="FootnoteReference"/>
          <w:rFonts w:ascii="Book Antiqua" w:eastAsia="Times New Roman" w:hAnsi="Book Antiqua"/>
          <w:color w:val="000000"/>
          <w:sz w:val="24"/>
          <w:szCs w:val="24"/>
        </w:rPr>
        <w:footnoteReference w:id="26"/>
      </w:r>
    </w:p>
    <w:p w14:paraId="59B07815" w14:textId="77777777" w:rsidR="004E7F4B" w:rsidRDefault="00753A27" w:rsidP="004E7F4B">
      <w:pPr>
        <w:spacing w:line="276" w:lineRule="auto"/>
        <w:ind w:left="1134"/>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It is very clear that the capital of State-Owned Enterprises (BUMN) is and comes from separated state assets. In the explanation of Law Number 19 of 2003 concerning State-Owned Enterprises, what is meant by separated state assets is the separation of state assets from the State Revenue and Expenditure Budget to be used as state capital participation in SOEs for further guidance and management no longer based on the Revenue and Expenditure Budget system. Country.</w:t>
      </w:r>
    </w:p>
    <w:p w14:paraId="1A7FA9A7" w14:textId="61FB9571" w:rsidR="00753A27" w:rsidRPr="004E7F4B" w:rsidRDefault="00753A27" w:rsidP="004E7F4B">
      <w:pPr>
        <w:spacing w:line="276" w:lineRule="auto"/>
        <w:ind w:left="1134"/>
        <w:jc w:val="both"/>
        <w:rPr>
          <w:rFonts w:ascii="Book Antiqua" w:eastAsia="Times New Roman" w:hAnsi="Book Antiqua"/>
          <w:color w:val="000000"/>
          <w:sz w:val="24"/>
          <w:szCs w:val="24"/>
        </w:rPr>
      </w:pPr>
      <w:r w:rsidRPr="00401EAD">
        <w:rPr>
          <w:rFonts w:ascii="Book Antiqua" w:eastAsia="Times New Roman" w:hAnsi="Book Antiqua"/>
          <w:color w:val="000000"/>
          <w:sz w:val="24"/>
          <w:szCs w:val="24"/>
        </w:rPr>
        <w:t xml:space="preserve">Based on the description above, SOE Creditors must submit an application for Bankruptcy to the Legal Bureau of the Ministry of Finance, Division of State </w:t>
      </w:r>
      <w:r w:rsidRPr="00401EAD">
        <w:rPr>
          <w:rFonts w:ascii="Book Antiqua" w:eastAsia="Times New Roman" w:hAnsi="Book Antiqua"/>
          <w:color w:val="000000"/>
          <w:sz w:val="24"/>
          <w:szCs w:val="24"/>
        </w:rPr>
        <w:lastRenderedPageBreak/>
        <w:t>Assets, Company, and Legal Information in order to review the juridical aspects of legal issues, and provide legal considerations in the context of resolving legal issues related to the separated or separated state assets. BUMN. Then after the Legal Bureau of the Ministry of Finance of the State Property Law, Company, and Legal Information section has provided legal considerations, then the bankruptcy application submitted by SOE creditors will be submitted by the Legal Bureau to the Minister of Finance to immediately apply for a SOE bankruptcy statement to the Chairman of the court in accordance with the provisions of the regulations. applicable.</w:t>
      </w:r>
    </w:p>
    <w:p w14:paraId="4C07A6ED" w14:textId="7E8FB3B9" w:rsidR="00BF3105" w:rsidRPr="00753A27" w:rsidRDefault="00BF3105" w:rsidP="00753A27">
      <w:pPr>
        <w:spacing w:line="276" w:lineRule="auto"/>
        <w:contextualSpacing/>
        <w:jc w:val="both"/>
        <w:rPr>
          <w:rFonts w:ascii="Book Antiqua" w:eastAsia="Times New Roman" w:hAnsi="Book Antiqua"/>
          <w:color w:val="000000"/>
          <w:sz w:val="24"/>
          <w:szCs w:val="24"/>
        </w:rPr>
      </w:pPr>
    </w:p>
    <w:p w14:paraId="35BED889" w14:textId="19752896" w:rsidR="00753A27" w:rsidRDefault="00B56D4F" w:rsidP="00753A27">
      <w:pPr>
        <w:pStyle w:val="Heading1"/>
        <w:spacing w:line="276" w:lineRule="auto"/>
        <w:ind w:left="284" w:hanging="284"/>
        <w:jc w:val="left"/>
        <w:rPr>
          <w:rFonts w:ascii="Book Antiqua" w:hAnsi="Book Antiqua"/>
          <w:sz w:val="24"/>
          <w:szCs w:val="24"/>
        </w:rPr>
      </w:pPr>
      <w:r>
        <w:rPr>
          <w:rFonts w:ascii="Book Antiqua" w:hAnsi="Book Antiqua"/>
          <w:sz w:val="24"/>
          <w:szCs w:val="24"/>
          <w:lang w:val="id-ID"/>
        </w:rPr>
        <w:t xml:space="preserve">4. </w:t>
      </w:r>
      <w:r w:rsidR="00753A27">
        <w:rPr>
          <w:rFonts w:ascii="Book Antiqua" w:hAnsi="Book Antiqua"/>
          <w:sz w:val="24"/>
          <w:szCs w:val="24"/>
        </w:rPr>
        <w:tab/>
        <w:t>Conclusion</w:t>
      </w:r>
    </w:p>
    <w:p w14:paraId="53DD5003" w14:textId="77777777" w:rsidR="00753A27" w:rsidRPr="00401EAD" w:rsidRDefault="00753A27" w:rsidP="00753A27">
      <w:pPr>
        <w:pStyle w:val="ListParagraph"/>
        <w:numPr>
          <w:ilvl w:val="0"/>
          <w:numId w:val="48"/>
        </w:numPr>
        <w:spacing w:after="0"/>
        <w:ind w:left="567" w:hanging="283"/>
        <w:jc w:val="both"/>
        <w:rPr>
          <w:rFonts w:ascii="Book Antiqua" w:hAnsi="Book Antiqua"/>
          <w:sz w:val="24"/>
          <w:szCs w:val="24"/>
          <w:lang w:val="en-US"/>
        </w:rPr>
      </w:pPr>
      <w:r w:rsidRPr="00401EAD">
        <w:rPr>
          <w:rFonts w:ascii="Book Antiqua" w:hAnsi="Book Antiqua"/>
          <w:sz w:val="24"/>
          <w:szCs w:val="24"/>
          <w:lang w:val="en-US"/>
        </w:rPr>
        <w:t xml:space="preserve">Arrangements for the bankruptcy of a State-Owned Enterprise (BUMN) are regulated in Law Number 37 of 2004 concerning Bankruptcy and Suspension of Debt Payment Obligations. More specifically, it is regulated in Article 2 paragraph (5) of Law Number 37 of 2004. Bankruptcy arrangements for BUMN have ambiguity or multiple interpretations regarding the explanation of Article 2 paragraph (5) regarding BUMN that are engaged in the public interest, the Bankruptcy Law does not provide criteria limits public interest explicitly, using only limits on the size and origin of the capital but does not clearly explain that what is meant by public interest is BUMN Perum. The existence of disharmony of the law regarding the authority of the Minister of Finance in insolvency of BUMN Perum must also pay attention to the principle </w:t>
      </w:r>
      <w:r w:rsidRPr="00401EAD">
        <w:rPr>
          <w:rFonts w:ascii="Book Antiqua" w:hAnsi="Book Antiqua"/>
          <w:i/>
          <w:iCs/>
          <w:sz w:val="24"/>
          <w:szCs w:val="24"/>
          <w:lang w:val="en-US"/>
        </w:rPr>
        <w:t xml:space="preserve">of Lex posteriori derogate legi priori </w:t>
      </w:r>
      <w:r w:rsidRPr="00401EAD">
        <w:rPr>
          <w:rFonts w:ascii="Book Antiqua" w:hAnsi="Book Antiqua"/>
          <w:sz w:val="24"/>
          <w:szCs w:val="24"/>
          <w:lang w:val="en-US"/>
        </w:rPr>
        <w:t>, namely the new regulation defeats or paralyzes the old regulation. Thus the regulation on bankruptcy against BUMN Perum is regulated in Law no. 37 of 2004 concerning Bankruptcy and Suspension of Debt Payment Obligations. The Minister of Finance has full authority to bankrupt SOEs engaged in the public interest, namely SOEs in the form of Public Companies (Perum).</w:t>
      </w:r>
    </w:p>
    <w:p w14:paraId="17970235" w14:textId="60B759C7" w:rsidR="00BA0C4D" w:rsidRPr="004E7F4B" w:rsidRDefault="00753A27" w:rsidP="004E7F4B">
      <w:pPr>
        <w:spacing w:line="276" w:lineRule="auto"/>
        <w:ind w:left="567" w:hanging="283"/>
        <w:jc w:val="both"/>
        <w:rPr>
          <w:rFonts w:ascii="Book Antiqua" w:hAnsi="Book Antiqua"/>
          <w:sz w:val="24"/>
        </w:rPr>
      </w:pPr>
      <w:r>
        <w:rPr>
          <w:rFonts w:ascii="Book Antiqua" w:hAnsi="Book Antiqua"/>
          <w:sz w:val="24"/>
          <w:szCs w:val="24"/>
        </w:rPr>
        <w:t xml:space="preserve">2. </w:t>
      </w:r>
      <w:r>
        <w:rPr>
          <w:rFonts w:ascii="Book Antiqua" w:hAnsi="Book Antiqua"/>
          <w:sz w:val="24"/>
          <w:szCs w:val="24"/>
        </w:rPr>
        <w:tab/>
      </w:r>
      <w:r w:rsidRPr="00401EAD">
        <w:rPr>
          <w:rFonts w:ascii="Book Antiqua" w:hAnsi="Book Antiqua"/>
          <w:sz w:val="24"/>
          <w:szCs w:val="24"/>
        </w:rPr>
        <w:t xml:space="preserve">The Minister of Finance has an important role in submitting an application for a declaration of bankruptcy against a State-Owned Enterprise (BUMN). </w:t>
      </w:r>
      <w:r w:rsidRPr="00401EAD">
        <w:rPr>
          <w:rFonts w:ascii="Book Antiqua" w:eastAsia="Times New Roman" w:hAnsi="Book Antiqua"/>
          <w:color w:val="000000"/>
          <w:sz w:val="24"/>
          <w:szCs w:val="24"/>
        </w:rPr>
        <w:t>The Minister of Finance has a role to bankrupt a BUMN that is engaged in the public interest (perum) for the benefit of the country's economy, or to be one way to save the country's economy through bankruptcy.</w:t>
      </w:r>
      <w:r w:rsidRPr="00401EAD">
        <w:rPr>
          <w:rFonts w:ascii="Book Antiqua" w:hAnsi="Book Antiqua"/>
          <w:sz w:val="24"/>
          <w:szCs w:val="24"/>
        </w:rPr>
        <w:t xml:space="preserve"> </w:t>
      </w:r>
      <w:r w:rsidRPr="00401EAD">
        <w:rPr>
          <w:rFonts w:ascii="Book Antiqua" w:eastAsia="Times New Roman" w:hAnsi="Book Antiqua"/>
          <w:color w:val="000000"/>
          <w:sz w:val="24"/>
          <w:szCs w:val="24"/>
        </w:rPr>
        <w:t>The role of the Minister of Finance in the bankruptcy of SOEs in accordance with Law Number 37 of 2004 concerning Bankruptcy and Postponement of Debt Payment Obligations is as an applicant for a declaration of bankruptcy against State-Owned Enterprises (BUMN) engaged in the public interest or Perum. In the event that BUMN creditors who will file for bankruptcy must first submit an application to the Minister of Finance through the Legal Bureau for State Property Law, Company, and Legal Information which will then be submitted to the Minister of Finance to immediately submit a request for a declaration of bankruptcy against BUMN to the Chairperson of the Court.</w:t>
      </w:r>
    </w:p>
    <w:p w14:paraId="5ADF138A" w14:textId="73E2D94D" w:rsidR="00B56D4F" w:rsidRPr="004E7F4B" w:rsidRDefault="00BA0C4D" w:rsidP="004E7F4B">
      <w:pPr>
        <w:pStyle w:val="Heading1"/>
        <w:rPr>
          <w:rStyle w:val="Strong"/>
          <w:rFonts w:ascii="Book Antiqua" w:hAnsi="Book Antiqua"/>
          <w:b/>
          <w:bCs/>
          <w:sz w:val="24"/>
          <w:szCs w:val="24"/>
          <w:lang w:val="en-US"/>
        </w:rPr>
      </w:pPr>
      <w:r>
        <w:rPr>
          <w:rFonts w:ascii="Book Antiqua" w:hAnsi="Book Antiqua"/>
          <w:sz w:val="24"/>
          <w:szCs w:val="24"/>
          <w:lang w:val="id-ID"/>
        </w:rPr>
        <w:lastRenderedPageBreak/>
        <w:t>References</w:t>
      </w:r>
    </w:p>
    <w:p w14:paraId="4A428ABA" w14:textId="74FC1C67" w:rsidR="00D51211" w:rsidRPr="004E7F4B" w:rsidRDefault="00D51211" w:rsidP="004E7F4B">
      <w:pPr>
        <w:rPr>
          <w:rStyle w:val="Strong"/>
          <w:rFonts w:ascii="Book Antiqua" w:hAnsi="Book Antiqua"/>
          <w:bCs w:val="0"/>
          <w:sz w:val="22"/>
        </w:rPr>
      </w:pPr>
      <w:r w:rsidRPr="00BA0C4D">
        <w:rPr>
          <w:rFonts w:ascii="Book Antiqua" w:hAnsi="Book Antiqua"/>
          <w:b/>
          <w:sz w:val="22"/>
        </w:rPr>
        <w:t>BOOK</w:t>
      </w:r>
    </w:p>
    <w:p w14:paraId="07F111C3" w14:textId="77777777" w:rsidR="008B469D" w:rsidRPr="00401EAD" w:rsidRDefault="008B469D" w:rsidP="00DD251B">
      <w:pPr>
        <w:pStyle w:val="FootnoteText"/>
        <w:spacing w:before="240" w:after="240"/>
        <w:ind w:firstLine="567"/>
        <w:rPr>
          <w:rFonts w:ascii="Book Antiqua" w:hAnsi="Book Antiqua"/>
          <w:sz w:val="24"/>
          <w:szCs w:val="24"/>
        </w:rPr>
      </w:pPr>
      <w:r w:rsidRPr="00401EAD">
        <w:rPr>
          <w:rFonts w:ascii="Book Antiqua" w:hAnsi="Book Antiqua"/>
          <w:sz w:val="24"/>
          <w:szCs w:val="24"/>
        </w:rPr>
        <w:t xml:space="preserve">Andriani Nurdin. 2012. </w:t>
      </w:r>
      <w:r w:rsidRPr="00401EAD">
        <w:rPr>
          <w:rFonts w:ascii="Book Antiqua" w:hAnsi="Book Antiqua"/>
          <w:i/>
          <w:iCs/>
          <w:sz w:val="24"/>
          <w:szCs w:val="24"/>
        </w:rPr>
        <w:t>Kepailitan BUMN Persero Berdasarkan Asas Kepastian Hukum</w:t>
      </w:r>
      <w:r w:rsidRPr="00401EAD">
        <w:rPr>
          <w:rFonts w:ascii="Book Antiqua" w:hAnsi="Book Antiqua"/>
          <w:sz w:val="24"/>
          <w:szCs w:val="24"/>
        </w:rPr>
        <w:t>. Bandung : P.T. Alumni.</w:t>
      </w:r>
    </w:p>
    <w:p w14:paraId="46431079" w14:textId="77777777" w:rsidR="008B469D" w:rsidRPr="00401EAD" w:rsidRDefault="008B469D" w:rsidP="00DD251B">
      <w:pPr>
        <w:pStyle w:val="FootnoteText"/>
        <w:spacing w:before="240" w:after="240"/>
        <w:ind w:firstLine="567"/>
        <w:jc w:val="both"/>
        <w:rPr>
          <w:rFonts w:ascii="Book Antiqua" w:hAnsi="Book Antiqua"/>
          <w:sz w:val="24"/>
        </w:rPr>
      </w:pPr>
      <w:r w:rsidRPr="00401EAD">
        <w:rPr>
          <w:rFonts w:ascii="Book Antiqua" w:hAnsi="Book Antiqua"/>
          <w:sz w:val="24"/>
        </w:rPr>
        <w:t xml:space="preserve">Bintoro, Tjokromidjojo. 1994. </w:t>
      </w:r>
      <w:r w:rsidRPr="00401EAD">
        <w:rPr>
          <w:rFonts w:ascii="Book Antiqua" w:hAnsi="Book Antiqua"/>
          <w:i/>
          <w:iCs/>
          <w:sz w:val="24"/>
        </w:rPr>
        <w:t>Pengantar Administrasi Pembangunan</w:t>
      </w:r>
      <w:r w:rsidRPr="00401EAD">
        <w:rPr>
          <w:rFonts w:ascii="Book Antiqua" w:hAnsi="Book Antiqua"/>
          <w:sz w:val="24"/>
        </w:rPr>
        <w:t xml:space="preserve">. Jakarta: LP3ES. </w:t>
      </w:r>
    </w:p>
    <w:p w14:paraId="15DBD95C" w14:textId="77777777" w:rsidR="008B469D" w:rsidRPr="00401EAD" w:rsidRDefault="008B469D" w:rsidP="00DD251B">
      <w:pPr>
        <w:pStyle w:val="FootnoteText"/>
        <w:spacing w:before="240" w:after="240"/>
        <w:ind w:firstLine="567"/>
        <w:jc w:val="both"/>
        <w:rPr>
          <w:rFonts w:ascii="Book Antiqua" w:hAnsi="Book Antiqua"/>
          <w:sz w:val="24"/>
        </w:rPr>
      </w:pPr>
      <w:r w:rsidRPr="00401EAD">
        <w:rPr>
          <w:rFonts w:ascii="Book Antiqua" w:hAnsi="Book Antiqua"/>
          <w:sz w:val="24"/>
        </w:rPr>
        <w:t xml:space="preserve">H.M.N. Purwosutjipto. (tt). </w:t>
      </w:r>
      <w:r w:rsidRPr="00401EAD">
        <w:rPr>
          <w:rFonts w:ascii="Book Antiqua" w:hAnsi="Book Antiqua"/>
          <w:i/>
          <w:iCs/>
          <w:sz w:val="24"/>
        </w:rPr>
        <w:t>Pengertian dan Pokok-Pokok Hukum Dagang Indonesia</w:t>
      </w:r>
      <w:r w:rsidRPr="00401EAD">
        <w:rPr>
          <w:rFonts w:ascii="Book Antiqua" w:hAnsi="Book Antiqua"/>
          <w:sz w:val="24"/>
        </w:rPr>
        <w:t>. Jakarta: Djambatan</w:t>
      </w:r>
    </w:p>
    <w:p w14:paraId="2E2E6B60" w14:textId="77777777" w:rsidR="008B469D" w:rsidRPr="00401EAD" w:rsidRDefault="008B469D" w:rsidP="00DD251B">
      <w:pPr>
        <w:pStyle w:val="FootnoteText"/>
        <w:spacing w:before="240" w:after="240"/>
        <w:ind w:firstLine="567"/>
        <w:jc w:val="both"/>
        <w:rPr>
          <w:rFonts w:ascii="Book Antiqua" w:hAnsi="Book Antiqua"/>
          <w:sz w:val="24"/>
        </w:rPr>
      </w:pPr>
      <w:r w:rsidRPr="00401EAD">
        <w:rPr>
          <w:rFonts w:ascii="Book Antiqua" w:hAnsi="Book Antiqua"/>
          <w:sz w:val="24"/>
        </w:rPr>
        <w:t xml:space="preserve">Ibrahim R. 1997. </w:t>
      </w:r>
      <w:r w:rsidRPr="00401EAD">
        <w:rPr>
          <w:rFonts w:ascii="Book Antiqua" w:hAnsi="Book Antiqua"/>
          <w:i/>
          <w:iCs/>
          <w:sz w:val="24"/>
        </w:rPr>
        <w:t>Pros</w:t>
      </w:r>
      <w:bookmarkStart w:id="2" w:name="_GoBack"/>
      <w:bookmarkEnd w:id="2"/>
      <w:r w:rsidRPr="00401EAD">
        <w:rPr>
          <w:rFonts w:ascii="Book Antiqua" w:hAnsi="Book Antiqua"/>
          <w:i/>
          <w:iCs/>
          <w:sz w:val="24"/>
        </w:rPr>
        <w:t>pek BUMN dan Kepentingan Umum</w:t>
      </w:r>
      <w:r w:rsidRPr="00401EAD">
        <w:rPr>
          <w:rFonts w:ascii="Book Antiqua" w:hAnsi="Book Antiqua"/>
          <w:sz w:val="24"/>
        </w:rPr>
        <w:t>. Bandung: Citra Aditya Bakti.</w:t>
      </w:r>
    </w:p>
    <w:p w14:paraId="45DA0A41" w14:textId="77777777" w:rsidR="008B469D" w:rsidRPr="00401EAD" w:rsidRDefault="008B469D" w:rsidP="00DD251B">
      <w:pPr>
        <w:pStyle w:val="FootnoteText"/>
        <w:spacing w:before="240" w:after="240"/>
        <w:ind w:firstLine="567"/>
        <w:jc w:val="both"/>
        <w:rPr>
          <w:rFonts w:ascii="Book Antiqua" w:hAnsi="Book Antiqua"/>
          <w:sz w:val="24"/>
          <w:szCs w:val="24"/>
        </w:rPr>
      </w:pPr>
      <w:r w:rsidRPr="00401EAD">
        <w:rPr>
          <w:rFonts w:ascii="Book Antiqua" w:hAnsi="Book Antiqua"/>
          <w:sz w:val="24"/>
          <w:szCs w:val="24"/>
        </w:rPr>
        <w:t xml:space="preserve">Johnny Ibrahim. 2006. </w:t>
      </w:r>
      <w:r w:rsidRPr="00401EAD">
        <w:rPr>
          <w:rFonts w:ascii="Book Antiqua" w:hAnsi="Book Antiqua"/>
          <w:i/>
          <w:sz w:val="24"/>
          <w:szCs w:val="24"/>
        </w:rPr>
        <w:t>Teori dan Metodologi Penelitian Hukum Normatif</w:t>
      </w:r>
      <w:r w:rsidRPr="00401EAD">
        <w:rPr>
          <w:rFonts w:ascii="Book Antiqua" w:hAnsi="Book Antiqua"/>
          <w:iCs/>
          <w:sz w:val="24"/>
          <w:szCs w:val="24"/>
        </w:rPr>
        <w:t>. Malang :Bayumedia</w:t>
      </w:r>
      <w:r w:rsidRPr="00401EAD">
        <w:rPr>
          <w:rFonts w:ascii="Book Antiqua" w:hAnsi="Book Antiqua"/>
          <w:sz w:val="24"/>
          <w:szCs w:val="24"/>
        </w:rPr>
        <w:t xml:space="preserve"> Publishing.</w:t>
      </w:r>
    </w:p>
    <w:p w14:paraId="58C84B49" w14:textId="77777777" w:rsidR="008B469D" w:rsidRPr="00401EAD" w:rsidRDefault="008B469D" w:rsidP="00DD251B">
      <w:pPr>
        <w:pStyle w:val="FootnoteText"/>
        <w:spacing w:before="240" w:after="240"/>
        <w:ind w:firstLine="567"/>
        <w:jc w:val="both"/>
        <w:rPr>
          <w:rFonts w:ascii="Book Antiqua" w:hAnsi="Book Antiqua"/>
          <w:sz w:val="24"/>
        </w:rPr>
      </w:pPr>
      <w:r w:rsidRPr="00401EAD">
        <w:rPr>
          <w:rFonts w:ascii="Book Antiqua" w:hAnsi="Book Antiqua"/>
          <w:sz w:val="24"/>
        </w:rPr>
        <w:t xml:space="preserve">Jono. 2008. </w:t>
      </w:r>
      <w:r w:rsidRPr="00401EAD">
        <w:rPr>
          <w:rFonts w:ascii="Book Antiqua" w:hAnsi="Book Antiqua"/>
          <w:i/>
          <w:iCs/>
          <w:sz w:val="24"/>
        </w:rPr>
        <w:t>Hukum Kepailitan</w:t>
      </w:r>
      <w:r w:rsidRPr="00401EAD">
        <w:rPr>
          <w:rFonts w:ascii="Book Antiqua" w:hAnsi="Book Antiqua"/>
          <w:sz w:val="24"/>
        </w:rPr>
        <w:t>. Jakarta: Pt. Sinar Grafika.</w:t>
      </w:r>
    </w:p>
    <w:p w14:paraId="16FD0A09" w14:textId="77777777" w:rsidR="008B469D" w:rsidRPr="00401EAD" w:rsidRDefault="008B469D" w:rsidP="00DD251B">
      <w:pPr>
        <w:pStyle w:val="FootnoteText"/>
        <w:spacing w:before="240" w:after="240"/>
        <w:ind w:firstLine="567"/>
        <w:jc w:val="both"/>
        <w:rPr>
          <w:rFonts w:ascii="Book Antiqua" w:hAnsi="Book Antiqua"/>
          <w:sz w:val="24"/>
        </w:rPr>
      </w:pPr>
      <w:r w:rsidRPr="00401EAD">
        <w:rPr>
          <w:rFonts w:ascii="Book Antiqua" w:hAnsi="Book Antiqua"/>
          <w:sz w:val="24"/>
        </w:rPr>
        <w:t xml:space="preserve">Louis E. Levinthal. 1999. </w:t>
      </w:r>
      <w:r w:rsidRPr="00401EAD">
        <w:rPr>
          <w:rFonts w:ascii="Book Antiqua" w:hAnsi="Book Antiqua"/>
          <w:i/>
          <w:iCs/>
          <w:sz w:val="24"/>
        </w:rPr>
        <w:t>The Early History of Bankruptcy Law</w:t>
      </w:r>
      <w:r w:rsidRPr="00401EAD">
        <w:rPr>
          <w:rFonts w:ascii="Book Antiqua" w:hAnsi="Book Antiqua"/>
          <w:sz w:val="24"/>
        </w:rPr>
        <w:t>. New York: Foundation Pres.</w:t>
      </w:r>
    </w:p>
    <w:p w14:paraId="0476BEEF" w14:textId="77777777" w:rsidR="008B469D" w:rsidRPr="00401EAD" w:rsidRDefault="008B469D" w:rsidP="00DD251B">
      <w:pPr>
        <w:pStyle w:val="FootnoteText"/>
        <w:spacing w:before="240" w:after="240"/>
        <w:ind w:firstLine="567"/>
        <w:jc w:val="both"/>
        <w:rPr>
          <w:rFonts w:ascii="Book Antiqua" w:hAnsi="Book Antiqua"/>
          <w:sz w:val="24"/>
        </w:rPr>
      </w:pPr>
      <w:r w:rsidRPr="00401EAD">
        <w:rPr>
          <w:rFonts w:ascii="Book Antiqua" w:hAnsi="Book Antiqua"/>
          <w:sz w:val="24"/>
        </w:rPr>
        <w:t xml:space="preserve">Mark Ingebresten. 2003. </w:t>
      </w:r>
      <w:r w:rsidRPr="00401EAD">
        <w:rPr>
          <w:rFonts w:ascii="Book Antiqua" w:hAnsi="Book Antiqua"/>
          <w:i/>
          <w:iCs/>
          <w:sz w:val="24"/>
        </w:rPr>
        <w:t>Why Companies Fail</w:t>
      </w:r>
      <w:r w:rsidRPr="00401EAD">
        <w:rPr>
          <w:rFonts w:ascii="Book Antiqua" w:hAnsi="Book Antiqua"/>
          <w:sz w:val="24"/>
        </w:rPr>
        <w:t>, terjemahan Emil Salim. Jakarta: Internusa.</w:t>
      </w:r>
    </w:p>
    <w:p w14:paraId="5A878B1F" w14:textId="77777777" w:rsidR="008B469D" w:rsidRPr="00401EAD" w:rsidRDefault="008B469D" w:rsidP="00DD251B">
      <w:pPr>
        <w:pStyle w:val="FootnoteText"/>
        <w:spacing w:before="240" w:after="240"/>
        <w:ind w:firstLine="567"/>
        <w:jc w:val="both"/>
        <w:rPr>
          <w:rFonts w:ascii="Book Antiqua" w:hAnsi="Book Antiqua"/>
          <w:sz w:val="24"/>
        </w:rPr>
      </w:pPr>
      <w:r w:rsidRPr="00401EAD">
        <w:rPr>
          <w:rFonts w:ascii="Book Antiqua" w:hAnsi="Book Antiqua"/>
          <w:sz w:val="24"/>
        </w:rPr>
        <w:t xml:space="preserve">Munir Faudy. 2002. </w:t>
      </w:r>
      <w:r w:rsidRPr="00401EAD">
        <w:rPr>
          <w:rFonts w:ascii="Book Antiqua" w:hAnsi="Book Antiqua"/>
          <w:i/>
          <w:iCs/>
          <w:sz w:val="24"/>
        </w:rPr>
        <w:t>Hukum Pailit</w:t>
      </w:r>
      <w:r w:rsidRPr="00401EAD">
        <w:rPr>
          <w:rFonts w:ascii="Book Antiqua" w:hAnsi="Book Antiqua"/>
          <w:sz w:val="24"/>
        </w:rPr>
        <w:t>. Bandung: Citra Aditya Bakti.</w:t>
      </w:r>
    </w:p>
    <w:p w14:paraId="1CF11C39" w14:textId="77777777" w:rsidR="008B469D" w:rsidRPr="00401EAD" w:rsidRDefault="008B469D" w:rsidP="00DD251B">
      <w:pPr>
        <w:pStyle w:val="FootnoteText"/>
        <w:spacing w:before="240" w:after="240"/>
        <w:ind w:firstLine="567"/>
        <w:jc w:val="both"/>
        <w:rPr>
          <w:rFonts w:ascii="Book Antiqua" w:hAnsi="Book Antiqua"/>
          <w:sz w:val="24"/>
        </w:rPr>
      </w:pPr>
      <w:r w:rsidRPr="00401EAD">
        <w:rPr>
          <w:rFonts w:ascii="Book Antiqua" w:hAnsi="Book Antiqua"/>
          <w:sz w:val="24"/>
        </w:rPr>
        <w:t xml:space="preserve">R.Subekti. 1995. </w:t>
      </w:r>
      <w:r w:rsidRPr="00401EAD">
        <w:rPr>
          <w:rFonts w:ascii="Book Antiqua" w:hAnsi="Book Antiqua"/>
          <w:i/>
          <w:iCs/>
          <w:sz w:val="24"/>
        </w:rPr>
        <w:t>Pokok-Pokok Hukum Dagang</w:t>
      </w:r>
      <w:r w:rsidRPr="00401EAD">
        <w:rPr>
          <w:rFonts w:ascii="Book Antiqua" w:hAnsi="Book Antiqua"/>
          <w:sz w:val="24"/>
        </w:rPr>
        <w:t>. Jakarta: Intermesa.</w:t>
      </w:r>
    </w:p>
    <w:p w14:paraId="68D48920" w14:textId="77777777" w:rsidR="008B469D" w:rsidRPr="00401EAD" w:rsidRDefault="008B469D" w:rsidP="00DD251B">
      <w:pPr>
        <w:pStyle w:val="FootnoteText"/>
        <w:spacing w:before="240" w:after="240"/>
        <w:ind w:firstLine="567"/>
        <w:jc w:val="both"/>
        <w:rPr>
          <w:rFonts w:ascii="Book Antiqua" w:hAnsi="Book Antiqua"/>
          <w:sz w:val="24"/>
        </w:rPr>
      </w:pPr>
      <w:r w:rsidRPr="00401EAD">
        <w:rPr>
          <w:rFonts w:ascii="Book Antiqua" w:hAnsi="Book Antiqua"/>
          <w:sz w:val="24"/>
        </w:rPr>
        <w:t xml:space="preserve">Rahayu Hartini. 2017. </w:t>
      </w:r>
      <w:r w:rsidRPr="00401EAD">
        <w:rPr>
          <w:rFonts w:ascii="Book Antiqua" w:hAnsi="Book Antiqua"/>
          <w:i/>
          <w:iCs/>
          <w:sz w:val="24"/>
        </w:rPr>
        <w:t>Konsep Keuangan Negara dan Hukum Kepailitan Indoensia</w:t>
      </w:r>
      <w:r w:rsidRPr="00401EAD">
        <w:rPr>
          <w:rFonts w:ascii="Book Antiqua" w:hAnsi="Book Antiqua"/>
          <w:sz w:val="24"/>
        </w:rPr>
        <w:t>. Malang: Setara Press.</w:t>
      </w:r>
    </w:p>
    <w:p w14:paraId="3C9D8956" w14:textId="77777777" w:rsidR="008B469D" w:rsidRPr="00401EAD" w:rsidRDefault="008B469D" w:rsidP="00DD251B">
      <w:pPr>
        <w:pStyle w:val="FootnoteText"/>
        <w:spacing w:before="240" w:after="240"/>
        <w:ind w:firstLine="567"/>
        <w:jc w:val="both"/>
        <w:rPr>
          <w:rFonts w:ascii="Book Antiqua" w:hAnsi="Book Antiqua"/>
          <w:sz w:val="24"/>
        </w:rPr>
      </w:pPr>
      <w:r w:rsidRPr="00401EAD">
        <w:rPr>
          <w:rFonts w:ascii="Book Antiqua" w:hAnsi="Book Antiqua"/>
          <w:sz w:val="24"/>
        </w:rPr>
        <w:t xml:space="preserve">Refly Harun. 2019. </w:t>
      </w:r>
      <w:r w:rsidRPr="00401EAD">
        <w:rPr>
          <w:rFonts w:ascii="Book Antiqua" w:hAnsi="Book Antiqua"/>
          <w:i/>
          <w:iCs/>
          <w:sz w:val="24"/>
        </w:rPr>
        <w:t>BUMN Dalam Sudut Pandang Tata Negara</w:t>
      </w:r>
      <w:r w:rsidRPr="00401EAD">
        <w:rPr>
          <w:rFonts w:ascii="Book Antiqua" w:hAnsi="Book Antiqua"/>
          <w:sz w:val="24"/>
        </w:rPr>
        <w:t>. Jakarta: Balai Pustaka.</w:t>
      </w:r>
    </w:p>
    <w:p w14:paraId="02AA73A0" w14:textId="77777777" w:rsidR="008B469D" w:rsidRPr="00401EAD" w:rsidRDefault="008B469D" w:rsidP="00DD251B">
      <w:pPr>
        <w:pStyle w:val="FootnoteText"/>
        <w:spacing w:before="240" w:after="240"/>
        <w:ind w:firstLine="567"/>
        <w:jc w:val="both"/>
        <w:rPr>
          <w:rFonts w:ascii="Book Antiqua" w:hAnsi="Book Antiqua"/>
          <w:sz w:val="24"/>
        </w:rPr>
      </w:pPr>
      <w:r w:rsidRPr="00401EAD">
        <w:rPr>
          <w:rFonts w:ascii="Book Antiqua" w:hAnsi="Book Antiqua"/>
          <w:sz w:val="24"/>
        </w:rPr>
        <w:t xml:space="preserve">Retnowulan. 1996. </w:t>
      </w:r>
      <w:r w:rsidRPr="00401EAD">
        <w:rPr>
          <w:rFonts w:ascii="Book Antiqua" w:hAnsi="Book Antiqua"/>
          <w:i/>
          <w:iCs/>
          <w:sz w:val="24"/>
        </w:rPr>
        <w:t>Kapita Selecta Hukum Ekonomi dan Perbankan</w:t>
      </w:r>
      <w:r w:rsidRPr="00401EAD">
        <w:rPr>
          <w:rFonts w:ascii="Book Antiqua" w:hAnsi="Book Antiqua"/>
          <w:sz w:val="24"/>
        </w:rPr>
        <w:t>. Jakarta: Seri Varia Yustisia.</w:t>
      </w:r>
    </w:p>
    <w:p w14:paraId="60226A42" w14:textId="77777777" w:rsidR="008B469D" w:rsidRPr="00401EAD" w:rsidRDefault="008B469D" w:rsidP="00DD251B">
      <w:pPr>
        <w:pStyle w:val="FootnoteText"/>
        <w:spacing w:before="240" w:after="240"/>
        <w:ind w:firstLine="567"/>
        <w:jc w:val="both"/>
        <w:rPr>
          <w:rFonts w:ascii="Book Antiqua" w:hAnsi="Book Antiqua"/>
          <w:sz w:val="24"/>
        </w:rPr>
      </w:pPr>
      <w:r w:rsidRPr="00401EAD">
        <w:rPr>
          <w:rFonts w:ascii="Book Antiqua" w:hAnsi="Book Antiqua"/>
          <w:sz w:val="24"/>
        </w:rPr>
        <w:t xml:space="preserve">Soerjono Soekanto. 1986. </w:t>
      </w:r>
      <w:r w:rsidRPr="00401EAD">
        <w:rPr>
          <w:rFonts w:ascii="Book Antiqua" w:hAnsi="Book Antiqua"/>
          <w:i/>
          <w:iCs/>
          <w:sz w:val="24"/>
        </w:rPr>
        <w:t>Pengantar Penelitian Hukum</w:t>
      </w:r>
      <w:r w:rsidRPr="00401EAD">
        <w:rPr>
          <w:rFonts w:ascii="Book Antiqua" w:hAnsi="Book Antiqua"/>
          <w:sz w:val="24"/>
        </w:rPr>
        <w:t>. Jakarta: Universitas Indonesia Press</w:t>
      </w:r>
    </w:p>
    <w:p w14:paraId="23535B78" w14:textId="77777777" w:rsidR="008B469D" w:rsidRPr="00401EAD" w:rsidRDefault="008B469D" w:rsidP="00DD251B">
      <w:pPr>
        <w:pStyle w:val="FootnoteText"/>
        <w:spacing w:before="240" w:after="240"/>
        <w:ind w:firstLine="567"/>
        <w:jc w:val="both"/>
        <w:rPr>
          <w:rFonts w:ascii="Book Antiqua" w:hAnsi="Book Antiqua"/>
          <w:sz w:val="24"/>
        </w:rPr>
      </w:pPr>
      <w:r w:rsidRPr="00401EAD">
        <w:rPr>
          <w:rFonts w:ascii="Book Antiqua" w:hAnsi="Book Antiqua"/>
          <w:sz w:val="24"/>
        </w:rPr>
        <w:t xml:space="preserve">Sudikno Mertokusumo. 2002. </w:t>
      </w:r>
      <w:r w:rsidRPr="00401EAD">
        <w:rPr>
          <w:rFonts w:ascii="Book Antiqua" w:hAnsi="Book Antiqua"/>
          <w:i/>
          <w:iCs/>
          <w:sz w:val="24"/>
        </w:rPr>
        <w:t>Mengenal Hukum (Suatu Pengantar)</w:t>
      </w:r>
      <w:r w:rsidRPr="00401EAD">
        <w:rPr>
          <w:rFonts w:ascii="Book Antiqua" w:hAnsi="Book Antiqua"/>
          <w:sz w:val="24"/>
        </w:rPr>
        <w:t xml:space="preserve">, Cetakan Ketiga. Yogyakarta: Liberty. </w:t>
      </w:r>
    </w:p>
    <w:p w14:paraId="4FE8CDE1" w14:textId="77777777" w:rsidR="008B469D" w:rsidRPr="00401EAD" w:rsidRDefault="008B469D" w:rsidP="00DD251B">
      <w:pPr>
        <w:pStyle w:val="FootnoteText"/>
        <w:spacing w:before="240" w:after="240"/>
        <w:ind w:firstLine="567"/>
        <w:jc w:val="both"/>
        <w:rPr>
          <w:rFonts w:ascii="Book Antiqua" w:hAnsi="Book Antiqua"/>
          <w:sz w:val="24"/>
        </w:rPr>
      </w:pPr>
      <w:r w:rsidRPr="00401EAD">
        <w:rPr>
          <w:rFonts w:ascii="Book Antiqua" w:hAnsi="Book Antiqua"/>
          <w:sz w:val="24"/>
        </w:rPr>
        <w:t xml:space="preserve">Sutan Remy Sjahdeini. 2016. </w:t>
      </w:r>
      <w:r w:rsidRPr="00401EAD">
        <w:rPr>
          <w:rFonts w:ascii="Book Antiqua" w:hAnsi="Book Antiqua"/>
          <w:i/>
          <w:iCs/>
          <w:sz w:val="24"/>
        </w:rPr>
        <w:t>Sejarah, Asas, dan Teori Hukum Kepailitan, Edisi Kedua</w:t>
      </w:r>
      <w:r w:rsidRPr="00401EAD">
        <w:rPr>
          <w:rFonts w:ascii="Book Antiqua" w:hAnsi="Book Antiqua"/>
          <w:sz w:val="24"/>
        </w:rPr>
        <w:t>.  Jakarta: Prenadamedia Group.</w:t>
      </w:r>
    </w:p>
    <w:p w14:paraId="312F0EED" w14:textId="77777777" w:rsidR="008B469D" w:rsidRPr="00401EAD" w:rsidRDefault="008B469D" w:rsidP="00DD251B">
      <w:pPr>
        <w:pStyle w:val="FootnoteText"/>
        <w:spacing w:before="240" w:after="240"/>
        <w:ind w:firstLine="567"/>
        <w:jc w:val="both"/>
        <w:rPr>
          <w:rFonts w:ascii="Book Antiqua" w:hAnsi="Book Antiqua"/>
          <w:sz w:val="24"/>
        </w:rPr>
      </w:pPr>
      <w:r w:rsidRPr="00401EAD">
        <w:rPr>
          <w:rFonts w:ascii="Book Antiqua" w:hAnsi="Book Antiqua"/>
          <w:sz w:val="24"/>
        </w:rPr>
        <w:t xml:space="preserve">Viktor M. Situmorang dan Hendri Soekarso.1993. </w:t>
      </w:r>
      <w:r w:rsidRPr="00401EAD">
        <w:rPr>
          <w:rFonts w:ascii="Book Antiqua" w:hAnsi="Book Antiqua"/>
          <w:i/>
          <w:iCs/>
          <w:sz w:val="24"/>
        </w:rPr>
        <w:t xml:space="preserve">Pengantar Hukum Kepailitan </w:t>
      </w:r>
      <w:r w:rsidRPr="00401EAD">
        <w:rPr>
          <w:rFonts w:ascii="Book Antiqua" w:hAnsi="Book Antiqua"/>
          <w:i/>
          <w:iCs/>
          <w:sz w:val="24"/>
        </w:rPr>
        <w:lastRenderedPageBreak/>
        <w:t>Indonesia</w:t>
      </w:r>
      <w:r w:rsidRPr="00401EAD">
        <w:rPr>
          <w:rFonts w:ascii="Book Antiqua" w:hAnsi="Book Antiqua"/>
          <w:sz w:val="24"/>
        </w:rPr>
        <w:t>. Jakarta: Rineka Cipta</w:t>
      </w:r>
    </w:p>
    <w:p w14:paraId="35EFE244" w14:textId="77777777" w:rsidR="00D51211" w:rsidRDefault="00D51211" w:rsidP="00D51211">
      <w:pPr>
        <w:pStyle w:val="FootnoteText"/>
        <w:spacing w:line="360" w:lineRule="auto"/>
        <w:jc w:val="both"/>
        <w:rPr>
          <w:rFonts w:ascii="Book Antiqua" w:hAnsi="Book Antiqua"/>
          <w:b/>
          <w:sz w:val="24"/>
          <w:szCs w:val="24"/>
        </w:rPr>
      </w:pPr>
    </w:p>
    <w:p w14:paraId="4EC81089" w14:textId="77777777" w:rsidR="00D51211" w:rsidRPr="00401EAD" w:rsidRDefault="00D51211" w:rsidP="00D51211">
      <w:pPr>
        <w:pStyle w:val="FootnoteText"/>
        <w:spacing w:line="276" w:lineRule="auto"/>
        <w:jc w:val="both"/>
        <w:rPr>
          <w:rFonts w:ascii="Book Antiqua" w:hAnsi="Book Antiqua"/>
          <w:b/>
          <w:sz w:val="24"/>
          <w:szCs w:val="24"/>
        </w:rPr>
      </w:pPr>
      <w:r w:rsidRPr="00401EAD">
        <w:rPr>
          <w:rFonts w:ascii="Book Antiqua" w:hAnsi="Book Antiqua"/>
          <w:b/>
          <w:sz w:val="24"/>
          <w:szCs w:val="24"/>
        </w:rPr>
        <w:t>Peraturan Perundang-Undangan</w:t>
      </w:r>
    </w:p>
    <w:p w14:paraId="6C2F3CB2" w14:textId="77777777" w:rsidR="00D51211" w:rsidRPr="00401EAD" w:rsidRDefault="00D51211" w:rsidP="00D51211">
      <w:pPr>
        <w:pStyle w:val="FootnoteText"/>
        <w:spacing w:line="276" w:lineRule="auto"/>
        <w:jc w:val="both"/>
        <w:rPr>
          <w:rFonts w:ascii="Book Antiqua" w:hAnsi="Book Antiqua"/>
          <w:sz w:val="24"/>
          <w:szCs w:val="24"/>
        </w:rPr>
      </w:pPr>
      <w:r w:rsidRPr="00401EAD">
        <w:rPr>
          <w:rFonts w:ascii="Book Antiqua" w:hAnsi="Book Antiqua"/>
          <w:sz w:val="24"/>
          <w:szCs w:val="24"/>
        </w:rPr>
        <w:t xml:space="preserve">Undang – Undang Nomor 37 Tahun 2004 tentnag Kepailitan dan Penundaan Kewajiban Pembayaran Utang </w:t>
      </w:r>
    </w:p>
    <w:p w14:paraId="6B386C34" w14:textId="77777777" w:rsidR="00D51211" w:rsidRPr="00401EAD" w:rsidRDefault="00D51211" w:rsidP="00D51211">
      <w:pPr>
        <w:pStyle w:val="FootnoteText"/>
        <w:spacing w:line="276" w:lineRule="auto"/>
        <w:jc w:val="both"/>
        <w:rPr>
          <w:rFonts w:ascii="Book Antiqua" w:hAnsi="Book Antiqua"/>
          <w:sz w:val="24"/>
          <w:szCs w:val="24"/>
        </w:rPr>
      </w:pPr>
      <w:r w:rsidRPr="00401EAD">
        <w:rPr>
          <w:rFonts w:ascii="Book Antiqua" w:hAnsi="Book Antiqua"/>
          <w:sz w:val="24"/>
          <w:szCs w:val="24"/>
        </w:rPr>
        <w:t>Undang-Undang Nomor 19 Tahun 2003 tentang Badan Usaha Milik Negara</w:t>
      </w:r>
    </w:p>
    <w:p w14:paraId="6E9BE42D" w14:textId="77777777" w:rsidR="00D51211" w:rsidRPr="00401EAD" w:rsidRDefault="00D51211" w:rsidP="00D51211">
      <w:pPr>
        <w:pStyle w:val="FootnoteText"/>
        <w:spacing w:line="276" w:lineRule="auto"/>
        <w:jc w:val="both"/>
        <w:rPr>
          <w:rFonts w:ascii="Book Antiqua" w:hAnsi="Book Antiqua"/>
          <w:sz w:val="24"/>
          <w:szCs w:val="24"/>
        </w:rPr>
      </w:pPr>
      <w:r w:rsidRPr="00401EAD">
        <w:rPr>
          <w:rFonts w:ascii="Book Antiqua" w:hAnsi="Book Antiqua"/>
          <w:sz w:val="24"/>
          <w:szCs w:val="24"/>
        </w:rPr>
        <w:t>Kitab Undang-Undang Hukum Perdata (KUH Perdata)</w:t>
      </w:r>
    </w:p>
    <w:p w14:paraId="6D8D71BB" w14:textId="77777777" w:rsidR="00D51211" w:rsidRPr="00401EAD" w:rsidRDefault="00D51211" w:rsidP="00D51211">
      <w:pPr>
        <w:pStyle w:val="FootnoteText"/>
        <w:spacing w:line="276" w:lineRule="auto"/>
        <w:jc w:val="both"/>
        <w:rPr>
          <w:rFonts w:ascii="Book Antiqua" w:hAnsi="Book Antiqua"/>
          <w:sz w:val="24"/>
          <w:szCs w:val="24"/>
        </w:rPr>
      </w:pPr>
      <w:r w:rsidRPr="00401EAD">
        <w:rPr>
          <w:rFonts w:ascii="Book Antiqua" w:hAnsi="Book Antiqua"/>
          <w:sz w:val="24"/>
          <w:szCs w:val="24"/>
        </w:rPr>
        <w:t>Peraturan Pemerintah Pengganti Undang-Undang Nomor 19 Tahun 1960</w:t>
      </w:r>
    </w:p>
    <w:p w14:paraId="6650F59D" w14:textId="77777777" w:rsidR="00D51211" w:rsidRPr="00401EAD" w:rsidRDefault="00D51211" w:rsidP="00D51211">
      <w:pPr>
        <w:pStyle w:val="FootnoteText"/>
        <w:spacing w:line="276" w:lineRule="auto"/>
        <w:jc w:val="both"/>
        <w:rPr>
          <w:rFonts w:ascii="Book Antiqua" w:hAnsi="Book Antiqua"/>
          <w:sz w:val="24"/>
          <w:szCs w:val="24"/>
        </w:rPr>
      </w:pPr>
      <w:r w:rsidRPr="00401EAD">
        <w:rPr>
          <w:rFonts w:ascii="Book Antiqua" w:hAnsi="Book Antiqua"/>
          <w:sz w:val="24"/>
          <w:szCs w:val="24"/>
        </w:rPr>
        <w:t>Undang-Undang Nomor 9 Tahun 1969</w:t>
      </w:r>
    </w:p>
    <w:p w14:paraId="4AEB6A6A" w14:textId="77777777" w:rsidR="00D51211" w:rsidRDefault="00D51211" w:rsidP="00D51211">
      <w:pPr>
        <w:spacing w:line="276" w:lineRule="auto"/>
        <w:jc w:val="both"/>
        <w:rPr>
          <w:rStyle w:val="Strong"/>
          <w:rFonts w:ascii="Book Antiqua" w:hAnsi="Book Antiqua"/>
          <w:sz w:val="24"/>
          <w:szCs w:val="24"/>
        </w:rPr>
      </w:pPr>
      <w:r w:rsidRPr="00401EAD">
        <w:rPr>
          <w:rFonts w:ascii="Book Antiqua" w:hAnsi="Book Antiqua"/>
          <w:sz w:val="24"/>
          <w:szCs w:val="24"/>
        </w:rPr>
        <w:t>Peraturan Menteri Keuangan Republik Indonesia Nomor 21/PMK.01/2018 Tentang Organisasi dan Tata Kerja Kementerian Keuangan.</w:t>
      </w:r>
    </w:p>
    <w:p w14:paraId="445E514E" w14:textId="77777777" w:rsidR="00D51211" w:rsidRDefault="00D51211" w:rsidP="00D51211">
      <w:pPr>
        <w:jc w:val="both"/>
        <w:rPr>
          <w:rStyle w:val="Strong"/>
          <w:rFonts w:ascii="Book Antiqua" w:hAnsi="Book Antiqua"/>
          <w:sz w:val="24"/>
          <w:szCs w:val="24"/>
        </w:rPr>
      </w:pPr>
    </w:p>
    <w:p w14:paraId="7161ED48" w14:textId="77777777" w:rsidR="00D51211" w:rsidRPr="00BA0C4D" w:rsidRDefault="00D51211" w:rsidP="00D51211">
      <w:pPr>
        <w:pStyle w:val="FootnoteText"/>
        <w:spacing w:line="276" w:lineRule="auto"/>
        <w:jc w:val="both"/>
        <w:rPr>
          <w:rFonts w:ascii="Book Antiqua" w:hAnsi="Book Antiqua"/>
          <w:b/>
          <w:sz w:val="24"/>
          <w:szCs w:val="24"/>
        </w:rPr>
      </w:pPr>
      <w:r w:rsidRPr="00BA0C4D">
        <w:rPr>
          <w:rFonts w:ascii="Book Antiqua" w:hAnsi="Book Antiqua"/>
          <w:b/>
          <w:sz w:val="24"/>
          <w:szCs w:val="24"/>
        </w:rPr>
        <w:t>Internet</w:t>
      </w:r>
    </w:p>
    <w:p w14:paraId="54D8DC17" w14:textId="77777777" w:rsidR="00D51211" w:rsidRPr="00BA0C4D" w:rsidRDefault="00D51211" w:rsidP="00D51211">
      <w:pPr>
        <w:pStyle w:val="FootnoteText"/>
        <w:spacing w:line="276" w:lineRule="auto"/>
        <w:ind w:firstLine="720"/>
        <w:jc w:val="both"/>
        <w:rPr>
          <w:rFonts w:ascii="Book Antiqua" w:hAnsi="Book Antiqua"/>
          <w:sz w:val="24"/>
          <w:szCs w:val="24"/>
        </w:rPr>
      </w:pPr>
      <w:r w:rsidRPr="00BA0C4D">
        <w:rPr>
          <w:rFonts w:ascii="Book Antiqua" w:hAnsi="Book Antiqua"/>
          <w:sz w:val="24"/>
          <w:szCs w:val="24"/>
        </w:rPr>
        <w:t xml:space="preserve">PT Dirgantara Indonesia dinyatakan Pailit, diakses dari </w:t>
      </w:r>
      <w:hyperlink r:id="rId10" w:history="1">
        <w:r w:rsidRPr="00BA0C4D">
          <w:rPr>
            <w:rStyle w:val="Hyperlink"/>
            <w:rFonts w:ascii="Book Antiqua" w:hAnsi="Book Antiqua"/>
            <w:color w:val="000000" w:themeColor="text1"/>
            <w:sz w:val="24"/>
            <w:szCs w:val="24"/>
          </w:rPr>
          <w:t>https://www.hukumonline.com/berita/baca/hol17520/pt-dirgantara indonesiadinyatakan-pailit/</w:t>
        </w:r>
      </w:hyperlink>
    </w:p>
    <w:p w14:paraId="1E803EA4" w14:textId="77777777" w:rsidR="00D51211" w:rsidRPr="00BA0C4D" w:rsidRDefault="00D51211" w:rsidP="00D51211">
      <w:pPr>
        <w:spacing w:line="276" w:lineRule="auto"/>
        <w:ind w:firstLine="720"/>
        <w:jc w:val="both"/>
        <w:rPr>
          <w:rFonts w:ascii="Book Antiqua" w:hAnsi="Book Antiqua"/>
          <w:sz w:val="24"/>
          <w:szCs w:val="24"/>
        </w:rPr>
      </w:pPr>
      <w:r w:rsidRPr="00BA0C4D">
        <w:rPr>
          <w:rFonts w:ascii="Book Antiqua" w:hAnsi="Book Antiqua"/>
          <w:sz w:val="24"/>
          <w:szCs w:val="24"/>
        </w:rPr>
        <w:t xml:space="preserve">Tidak hanya swasta, BUMN pun bisa dipailitkan, diakses dari </w:t>
      </w:r>
      <w:hyperlink r:id="rId11" w:history="1">
        <w:r w:rsidRPr="00BA0C4D">
          <w:rPr>
            <w:rStyle w:val="Hyperlink"/>
            <w:rFonts w:ascii="Book Antiqua" w:hAnsi="Book Antiqua"/>
            <w:color w:val="000000" w:themeColor="text1"/>
            <w:sz w:val="24"/>
            <w:szCs w:val="24"/>
          </w:rPr>
          <w:t>http://manplawyers.co/2017/08/02/tidak-hanya-swasta-bumn-pun-bisa/dipailitkan/</w:t>
        </w:r>
      </w:hyperlink>
      <w:r w:rsidRPr="00BA0C4D">
        <w:rPr>
          <w:rFonts w:ascii="Book Antiqua" w:hAnsi="Book Antiqua"/>
          <w:color w:val="000000" w:themeColor="text1"/>
          <w:sz w:val="24"/>
          <w:szCs w:val="24"/>
        </w:rPr>
        <w:t xml:space="preserve"> </w:t>
      </w:r>
    </w:p>
    <w:p w14:paraId="38EFDCB7" w14:textId="77777777" w:rsidR="00D51211" w:rsidRPr="00BA0C4D" w:rsidRDefault="00D51211" w:rsidP="00D51211">
      <w:pPr>
        <w:spacing w:line="276" w:lineRule="auto"/>
        <w:ind w:firstLine="720"/>
        <w:jc w:val="both"/>
        <w:rPr>
          <w:rFonts w:ascii="Book Antiqua" w:hAnsi="Book Antiqua"/>
          <w:sz w:val="24"/>
          <w:szCs w:val="24"/>
        </w:rPr>
      </w:pPr>
      <w:r w:rsidRPr="00BA0C4D">
        <w:rPr>
          <w:rFonts w:ascii="Book Antiqua" w:hAnsi="Book Antiqua"/>
          <w:i/>
          <w:iCs/>
          <w:sz w:val="24"/>
          <w:szCs w:val="24"/>
        </w:rPr>
        <w:t>Bankruptcy</w:t>
      </w:r>
      <w:r w:rsidRPr="00BA0C4D">
        <w:rPr>
          <w:rFonts w:ascii="Book Antiqua" w:hAnsi="Book Antiqua"/>
          <w:sz w:val="24"/>
          <w:szCs w:val="24"/>
        </w:rPr>
        <w:t>, diakses dari http://en.wikipedia.org/wiki/Bankruptcy</w:t>
      </w:r>
    </w:p>
    <w:p w14:paraId="64F328BA" w14:textId="77777777" w:rsidR="00D51211" w:rsidRDefault="00D51211" w:rsidP="00D51211">
      <w:pPr>
        <w:spacing w:line="276" w:lineRule="auto"/>
        <w:jc w:val="both"/>
        <w:rPr>
          <w:rFonts w:ascii="Book Antiqua" w:hAnsi="Book Antiqua"/>
          <w:b/>
          <w:sz w:val="24"/>
          <w:szCs w:val="24"/>
        </w:rPr>
      </w:pPr>
    </w:p>
    <w:p w14:paraId="5F6E5603" w14:textId="77777777" w:rsidR="00D51211" w:rsidRPr="00BA0C4D" w:rsidRDefault="00D51211" w:rsidP="00D51211">
      <w:pPr>
        <w:spacing w:line="276" w:lineRule="auto"/>
        <w:jc w:val="both"/>
        <w:rPr>
          <w:rFonts w:ascii="Book Antiqua" w:hAnsi="Book Antiqua"/>
          <w:b/>
          <w:sz w:val="24"/>
          <w:szCs w:val="24"/>
        </w:rPr>
      </w:pPr>
      <w:r w:rsidRPr="00BA0C4D">
        <w:rPr>
          <w:rFonts w:ascii="Book Antiqua" w:hAnsi="Book Antiqua"/>
          <w:b/>
          <w:sz w:val="24"/>
          <w:szCs w:val="24"/>
        </w:rPr>
        <w:t>Jurnal Ilmiah</w:t>
      </w:r>
    </w:p>
    <w:p w14:paraId="26E6A741" w14:textId="77777777" w:rsidR="00D51211" w:rsidRPr="00BA0C4D" w:rsidRDefault="00D51211" w:rsidP="00D51211">
      <w:pPr>
        <w:spacing w:line="276" w:lineRule="auto"/>
        <w:jc w:val="both"/>
        <w:rPr>
          <w:rFonts w:ascii="Book Antiqua" w:hAnsi="Book Antiqua"/>
          <w:sz w:val="24"/>
          <w:szCs w:val="24"/>
        </w:rPr>
      </w:pPr>
      <w:r w:rsidRPr="00BA0C4D">
        <w:rPr>
          <w:rFonts w:ascii="Book Antiqua" w:hAnsi="Book Antiqua"/>
          <w:b/>
          <w:sz w:val="24"/>
          <w:szCs w:val="24"/>
        </w:rPr>
        <w:tab/>
      </w:r>
      <w:r w:rsidRPr="00BA0C4D">
        <w:rPr>
          <w:rFonts w:ascii="Book Antiqua" w:hAnsi="Book Antiqua"/>
          <w:bCs/>
          <w:sz w:val="24"/>
          <w:szCs w:val="24"/>
        </w:rPr>
        <w:t xml:space="preserve">Paisol Burlian (2016). </w:t>
      </w:r>
      <w:r w:rsidRPr="00BA0C4D">
        <w:rPr>
          <w:rFonts w:ascii="Book Antiqua" w:hAnsi="Book Antiqua"/>
          <w:bCs/>
          <w:i/>
          <w:iCs/>
          <w:sz w:val="24"/>
          <w:szCs w:val="24"/>
        </w:rPr>
        <w:t xml:space="preserve">Kewenangan Pengajuan Permohonan Pailit Terhadap Perusahaan </w:t>
      </w:r>
      <w:r w:rsidRPr="00BA0C4D">
        <w:rPr>
          <w:rFonts w:ascii="Book Antiqua" w:hAnsi="Book Antiqua"/>
          <w:bCs/>
          <w:sz w:val="24"/>
          <w:szCs w:val="24"/>
        </w:rPr>
        <w:t>Asuransi. Jurnal Ilmu Hukum Magister Hukum. Vol. 1. No. 2.</w:t>
      </w:r>
    </w:p>
    <w:p w14:paraId="41D09098" w14:textId="77777777" w:rsidR="00BA0C4D" w:rsidRDefault="00BA0C4D" w:rsidP="00B56D4F">
      <w:pPr>
        <w:jc w:val="both"/>
        <w:rPr>
          <w:rStyle w:val="Strong"/>
          <w:rFonts w:ascii="Book Antiqua" w:hAnsi="Book Antiqua"/>
          <w:sz w:val="24"/>
          <w:szCs w:val="24"/>
        </w:rPr>
      </w:pPr>
    </w:p>
    <w:p w14:paraId="2FB154C4" w14:textId="77777777" w:rsidR="00BA0C4D" w:rsidRDefault="00BA0C4D" w:rsidP="00B56D4F">
      <w:pPr>
        <w:jc w:val="both"/>
        <w:rPr>
          <w:rStyle w:val="Strong"/>
          <w:rFonts w:ascii="Book Antiqua" w:hAnsi="Book Antiqua"/>
          <w:sz w:val="24"/>
          <w:szCs w:val="24"/>
        </w:rPr>
      </w:pPr>
    </w:p>
    <w:p w14:paraId="410DB985" w14:textId="77777777" w:rsidR="00BA0C4D" w:rsidRDefault="00BA0C4D" w:rsidP="00B56D4F">
      <w:pPr>
        <w:jc w:val="both"/>
        <w:rPr>
          <w:rStyle w:val="Strong"/>
          <w:rFonts w:ascii="Book Antiqua" w:hAnsi="Book Antiqua"/>
          <w:sz w:val="24"/>
          <w:szCs w:val="24"/>
        </w:rPr>
      </w:pPr>
    </w:p>
    <w:p w14:paraId="469306BF" w14:textId="77777777" w:rsidR="00BA0C4D" w:rsidRDefault="00BA0C4D" w:rsidP="00B56D4F">
      <w:pPr>
        <w:jc w:val="both"/>
        <w:rPr>
          <w:rStyle w:val="Strong"/>
          <w:rFonts w:ascii="Book Antiqua" w:hAnsi="Book Antiqua"/>
          <w:sz w:val="24"/>
          <w:szCs w:val="24"/>
        </w:rPr>
      </w:pPr>
    </w:p>
    <w:p w14:paraId="1176A8A7" w14:textId="77777777" w:rsidR="00BA0C4D" w:rsidRDefault="00BA0C4D" w:rsidP="00B56D4F">
      <w:pPr>
        <w:jc w:val="both"/>
        <w:rPr>
          <w:rStyle w:val="Strong"/>
          <w:rFonts w:ascii="Book Antiqua" w:hAnsi="Book Antiqua"/>
          <w:sz w:val="24"/>
          <w:szCs w:val="24"/>
        </w:rPr>
      </w:pPr>
    </w:p>
    <w:p w14:paraId="1030CB4A" w14:textId="77777777" w:rsidR="00BA0C4D" w:rsidRDefault="00BA0C4D" w:rsidP="00B56D4F">
      <w:pPr>
        <w:jc w:val="both"/>
        <w:rPr>
          <w:rStyle w:val="Strong"/>
          <w:rFonts w:ascii="Book Antiqua" w:hAnsi="Book Antiqua"/>
          <w:sz w:val="24"/>
          <w:szCs w:val="24"/>
        </w:rPr>
      </w:pPr>
    </w:p>
    <w:p w14:paraId="3AF38756" w14:textId="77777777" w:rsidR="00BA0C4D" w:rsidRDefault="00BA0C4D" w:rsidP="00B56D4F">
      <w:pPr>
        <w:jc w:val="both"/>
        <w:rPr>
          <w:rStyle w:val="Strong"/>
          <w:rFonts w:ascii="Book Antiqua" w:hAnsi="Book Antiqua"/>
          <w:sz w:val="24"/>
          <w:szCs w:val="24"/>
        </w:rPr>
      </w:pPr>
    </w:p>
    <w:p w14:paraId="2B9BC396" w14:textId="77777777" w:rsidR="00BA0C4D" w:rsidRDefault="00BA0C4D" w:rsidP="00B56D4F">
      <w:pPr>
        <w:jc w:val="both"/>
        <w:rPr>
          <w:rStyle w:val="Strong"/>
          <w:rFonts w:ascii="Book Antiqua" w:hAnsi="Book Antiqua"/>
          <w:sz w:val="24"/>
          <w:szCs w:val="24"/>
        </w:rPr>
      </w:pPr>
    </w:p>
    <w:p w14:paraId="11AB2710" w14:textId="77777777" w:rsidR="00BA0C4D" w:rsidRDefault="00BA0C4D" w:rsidP="00B56D4F">
      <w:pPr>
        <w:jc w:val="both"/>
        <w:rPr>
          <w:rStyle w:val="Strong"/>
          <w:rFonts w:ascii="Book Antiqua" w:hAnsi="Book Antiqua"/>
          <w:sz w:val="24"/>
          <w:szCs w:val="24"/>
        </w:rPr>
      </w:pPr>
    </w:p>
    <w:p w14:paraId="6E0654EB" w14:textId="77777777" w:rsidR="00BA0C4D" w:rsidRDefault="00BA0C4D" w:rsidP="00B56D4F">
      <w:pPr>
        <w:jc w:val="both"/>
        <w:rPr>
          <w:rStyle w:val="Strong"/>
          <w:rFonts w:ascii="Book Antiqua" w:hAnsi="Book Antiqua"/>
          <w:sz w:val="24"/>
          <w:szCs w:val="24"/>
        </w:rPr>
      </w:pPr>
    </w:p>
    <w:p w14:paraId="33FBE71F" w14:textId="77777777" w:rsidR="001B7713" w:rsidRPr="00B56D4F" w:rsidRDefault="001B7713" w:rsidP="00DE7ADC">
      <w:pPr>
        <w:jc w:val="both"/>
        <w:rPr>
          <w:rFonts w:ascii="Book Antiqua" w:hAnsi="Book Antiqua"/>
          <w:sz w:val="24"/>
          <w:szCs w:val="24"/>
          <w:lang w:val="id-ID" w:eastAsia="id-ID"/>
        </w:rPr>
      </w:pPr>
    </w:p>
    <w:sectPr w:rsidR="001B7713" w:rsidRPr="00B56D4F" w:rsidSect="0092577C">
      <w:headerReference w:type="even" r:id="rId12"/>
      <w:headerReference w:type="default" r:id="rId13"/>
      <w:footerReference w:type="even" r:id="rId14"/>
      <w:footerReference w:type="default" r:id="rId15"/>
      <w:headerReference w:type="first" r:id="rId16"/>
      <w:footerReference w:type="first" r:id="rId17"/>
      <w:pgSz w:w="11907" w:h="16840" w:code="9"/>
      <w:pgMar w:top="1134" w:right="1134" w:bottom="1134" w:left="1134" w:header="284" w:footer="561"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9D25DE" w14:textId="77777777" w:rsidR="00CB1AC1" w:rsidRDefault="00CB1AC1">
      <w:r>
        <w:separator/>
      </w:r>
    </w:p>
  </w:endnote>
  <w:endnote w:type="continuationSeparator" w:id="0">
    <w:p w14:paraId="0A8F5F0D" w14:textId="77777777" w:rsidR="00CB1AC1" w:rsidRDefault="00CB1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Palatino">
    <w:charset w:val="00"/>
    <w:family w:val="auto"/>
    <w:pitch w:val="variable"/>
    <w:sig w:usb0="A00002FF" w:usb1="7800205A" w:usb2="14600000" w:usb3="00000000" w:csb0="00000193"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BatangChe">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raditional Arabic">
    <w:charset w:val="B2"/>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 w:name="Junicode">
    <w:altName w:val="Times New Roman"/>
    <w:panose1 w:val="00000000000000000000"/>
    <w:charset w:val="00"/>
    <w:family w:val="auto"/>
    <w:notTrueType/>
    <w:pitch w:val="default"/>
    <w:sig w:usb0="00000003" w:usb1="00000000" w:usb2="00000000" w:usb3="00000000" w:csb0="00000001" w:csb1="00000000"/>
  </w:font>
  <w:font w:name="Book Antiqua">
    <w:altName w:val="Times New Roman"/>
    <w:panose1 w:val="02040602050305030304"/>
    <w:charset w:val="00"/>
    <w:family w:val="roman"/>
    <w:pitch w:val="variable"/>
    <w:sig w:usb0="00000287" w:usb1="00000000" w:usb2="00000000" w:usb3="00000000" w:csb0="0000009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49ED56" w14:textId="79FE6593" w:rsidR="00CA36DF" w:rsidRDefault="0032035E" w:rsidP="00CA36DF">
    <w:pPr>
      <w:pStyle w:val="Footer"/>
    </w:pPr>
    <w:r>
      <w:rPr>
        <w:noProof/>
        <w:lang w:val="en-US"/>
      </w:rPr>
      <mc:AlternateContent>
        <mc:Choice Requires="wpg">
          <w:drawing>
            <wp:anchor distT="0" distB="0" distL="114300" distR="114300" simplePos="0" relativeHeight="251660288" behindDoc="0" locked="0" layoutInCell="1" allowOverlap="1" wp14:anchorId="68F2B348" wp14:editId="4397031E">
              <wp:simplePos x="0" y="0"/>
              <wp:positionH relativeFrom="page">
                <wp:align>center</wp:align>
              </wp:positionH>
              <wp:positionV relativeFrom="line">
                <wp:align>top</wp:align>
              </wp:positionV>
              <wp:extent cx="5859145" cy="419100"/>
              <wp:effectExtent l="0" t="0" r="27305" b="19050"/>
              <wp:wrapTopAndBottom/>
              <wp:docPr id="9"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419100"/>
                        <a:chOff x="321" y="14850"/>
                        <a:chExt cx="11601" cy="547"/>
                      </a:xfrm>
                    </wpg:grpSpPr>
                    <wps:wsp>
                      <wps:cNvPr id="10"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0BDAA7B6" w14:textId="77777777" w:rsidR="0092577C" w:rsidRPr="000102E1" w:rsidRDefault="0092577C" w:rsidP="0092577C">
                            <w:pPr>
                              <w:jc w:val="center"/>
                              <w:rPr>
                                <w:rFonts w:ascii="Book Antiqua" w:hAnsi="Book Antiqua"/>
                                <w:b/>
                                <w:bCs/>
                                <w:color w:val="FFFFFF" w:themeColor="background1"/>
                                <w:sz w:val="18"/>
                                <w:szCs w:val="18"/>
                                <w:lang w:val="id-ID"/>
                              </w:rPr>
                            </w:pPr>
                            <w:r w:rsidRPr="000102E1">
                              <w:rPr>
                                <w:rFonts w:ascii="Book Antiqua" w:hAnsi="Book Antiqua"/>
                                <w:b/>
                                <w:color w:val="FFFFFF" w:themeColor="background1"/>
                                <w:sz w:val="18"/>
                                <w:szCs w:val="18"/>
                              </w:rPr>
                              <w:t>Dios Ferdian Harefa</w:t>
                            </w:r>
                            <w:r w:rsidRPr="000102E1">
                              <w:rPr>
                                <w:rFonts w:ascii="Book Antiqua" w:hAnsi="Book Antiqua"/>
                                <w:b/>
                                <w:bCs/>
                                <w:color w:val="FFFFFF" w:themeColor="background1"/>
                                <w:spacing w:val="60"/>
                                <w:sz w:val="18"/>
                                <w:szCs w:val="18"/>
                                <w:lang w:val="id-ID"/>
                              </w:rPr>
                              <w:t>:</w:t>
                            </w:r>
                            <w:r w:rsidRPr="000102E1">
                              <w:rPr>
                                <w:rFonts w:ascii="Book Antiqua" w:hAnsi="Book Antiqua"/>
                                <w:b/>
                                <w:color w:val="FFFFFF" w:themeColor="background1"/>
                                <w:sz w:val="24"/>
                                <w:szCs w:val="24"/>
                              </w:rPr>
                              <w:t xml:space="preserve"> </w:t>
                            </w:r>
                            <w:r w:rsidRPr="000102E1">
                              <w:rPr>
                                <w:rFonts w:ascii="Book Antiqua" w:hAnsi="Book Antiqua"/>
                                <w:b/>
                                <w:i/>
                                <w:iCs/>
                                <w:color w:val="FFFFFF" w:themeColor="background1"/>
                                <w:sz w:val="18"/>
                                <w:szCs w:val="18"/>
                              </w:rPr>
                              <w:t>Analisa Hukum Peranan Kementerin Keuangan Dalam Pengajuan Permohonan Pailit Terhadap Debitor BUMN</w:t>
                            </w:r>
                          </w:p>
                          <w:p w14:paraId="5E609DC6" w14:textId="77777777" w:rsidR="0092577C" w:rsidRPr="000102E1" w:rsidRDefault="0092577C" w:rsidP="0092577C">
                            <w:pPr>
                              <w:pStyle w:val="Header"/>
                              <w:jc w:val="both"/>
                              <w:rPr>
                                <w:rFonts w:ascii="Garamond" w:hAnsi="Garamond"/>
                                <w:b/>
                                <w:bCs/>
                                <w:color w:val="FFFFFF"/>
                                <w:sz w:val="18"/>
                                <w:szCs w:val="18"/>
                                <w:lang w:val="id-ID"/>
                              </w:rPr>
                            </w:pPr>
                          </w:p>
                          <w:p w14:paraId="3B91AFA7" w14:textId="77777777" w:rsidR="0092577C" w:rsidRPr="000102E1" w:rsidRDefault="0092577C" w:rsidP="0092577C">
                            <w:pPr>
                              <w:pStyle w:val="Header"/>
                              <w:rPr>
                                <w:rFonts w:ascii="Garamond" w:hAnsi="Garamond"/>
                                <w:b/>
                                <w:bCs/>
                                <w:color w:val="FFFFFF"/>
                                <w:sz w:val="10"/>
                                <w:szCs w:val="10"/>
                              </w:rPr>
                            </w:pPr>
                          </w:p>
                          <w:p w14:paraId="5F0C7873" w14:textId="77777777" w:rsidR="0092577C" w:rsidRPr="000102E1" w:rsidRDefault="0092577C" w:rsidP="0092577C">
                            <w:pPr>
                              <w:pStyle w:val="Header"/>
                              <w:jc w:val="both"/>
                              <w:rPr>
                                <w:b/>
                                <w:bCs/>
                                <w:color w:val="FFFFFF"/>
                                <w:sz w:val="18"/>
                                <w:szCs w:val="18"/>
                              </w:rPr>
                            </w:pPr>
                          </w:p>
                          <w:p w14:paraId="06FBC6A9"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11"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0CD437"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DD251B" w:rsidRPr="00DD251B">
                              <w:rPr>
                                <w:rFonts w:ascii="Garamond" w:hAnsi="Garamond"/>
                                <w:noProof/>
                                <w:color w:val="FFFFFF"/>
                                <w:sz w:val="18"/>
                              </w:rPr>
                              <w:t>14</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12"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6" o:spid="_x0000_s1026" style="position:absolute;margin-left:0;margin-top:0;width:461.35pt;height:33pt;z-index:251660288;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">
              <v:rect id="Rectangle 157" o:spid="_x0000_s1027" style="position:absolute;left:374;top:14903;width:934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lK0MMA&#10;AADbAAAADwAAAGRycy9kb3ducmV2LnhtbESPQWvCQBCF70L/wzIFb7pRiqTRVYog5NCL2oPHITtN&#10;gtnZuLvV5N87B6G3Gd6b977Z7AbXqTuF2Ho2sJhnoIgrb1uuDfycD7McVEzIFjvPZGCkCLvt22SD&#10;hfUPPtL9lGolIRwLNNCk1Bdax6ohh3Hue2LRfn1wmGQNtbYBHxLuOr3MspV22LI0NNjTvqHqevpz&#10;Bm55+sjHz1UoF9W1HL/z0V3Oe2Om78PXGlSiIf2bX9elFXyhl19kAL1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clK0MMAAADbAAAADwAAAAAAAAAAAAAAAACYAgAAZHJzL2Rv&#10;d25yZXYueG1sUEsFBgAAAAAEAAQA9QAAAIgDAAAAAA==&#10;" fillcolor="#953735" stroked="f" strokecolor="#943634">
                <v:textbox>
                  <w:txbxContent>
                    <w:p w14:paraId="0BDAA7B6" w14:textId="77777777" w:rsidR="0092577C" w:rsidRPr="000102E1" w:rsidRDefault="0092577C" w:rsidP="0092577C">
                      <w:pPr>
                        <w:jc w:val="center"/>
                        <w:rPr>
                          <w:rFonts w:ascii="Book Antiqua" w:hAnsi="Book Antiqua"/>
                          <w:b/>
                          <w:bCs/>
                          <w:color w:val="FFFFFF" w:themeColor="background1"/>
                          <w:sz w:val="18"/>
                          <w:szCs w:val="18"/>
                          <w:lang w:val="id-ID"/>
                        </w:rPr>
                      </w:pPr>
                      <w:r w:rsidRPr="000102E1">
                        <w:rPr>
                          <w:rFonts w:ascii="Book Antiqua" w:hAnsi="Book Antiqua"/>
                          <w:b/>
                          <w:color w:val="FFFFFF" w:themeColor="background1"/>
                          <w:sz w:val="18"/>
                          <w:szCs w:val="18"/>
                        </w:rPr>
                        <w:t>Dios Ferdian Harefa</w:t>
                      </w:r>
                      <w:r w:rsidRPr="000102E1">
                        <w:rPr>
                          <w:rFonts w:ascii="Book Antiqua" w:hAnsi="Book Antiqua"/>
                          <w:b/>
                          <w:bCs/>
                          <w:color w:val="FFFFFF" w:themeColor="background1"/>
                          <w:spacing w:val="60"/>
                          <w:sz w:val="18"/>
                          <w:szCs w:val="18"/>
                          <w:lang w:val="id-ID"/>
                        </w:rPr>
                        <w:t>:</w:t>
                      </w:r>
                      <w:r w:rsidRPr="000102E1">
                        <w:rPr>
                          <w:rFonts w:ascii="Book Antiqua" w:hAnsi="Book Antiqua"/>
                          <w:b/>
                          <w:color w:val="FFFFFF" w:themeColor="background1"/>
                          <w:sz w:val="24"/>
                          <w:szCs w:val="24"/>
                        </w:rPr>
                        <w:t xml:space="preserve"> </w:t>
                      </w:r>
                      <w:r w:rsidRPr="000102E1">
                        <w:rPr>
                          <w:rFonts w:ascii="Book Antiqua" w:hAnsi="Book Antiqua"/>
                          <w:b/>
                          <w:i/>
                          <w:iCs/>
                          <w:color w:val="FFFFFF" w:themeColor="background1"/>
                          <w:sz w:val="18"/>
                          <w:szCs w:val="18"/>
                        </w:rPr>
                        <w:t>Analisa Hukum Peranan Kementerin Keuangan Dalam Pengajuan Permohonan Pailit Terhadap Debitor BUMN</w:t>
                      </w:r>
                    </w:p>
                    <w:p w14:paraId="5E609DC6" w14:textId="77777777" w:rsidR="0092577C" w:rsidRPr="000102E1" w:rsidRDefault="0092577C" w:rsidP="0092577C">
                      <w:pPr>
                        <w:pStyle w:val="Header"/>
                        <w:jc w:val="both"/>
                        <w:rPr>
                          <w:rFonts w:ascii="Garamond" w:hAnsi="Garamond"/>
                          <w:b/>
                          <w:bCs/>
                          <w:color w:val="FFFFFF"/>
                          <w:sz w:val="18"/>
                          <w:szCs w:val="18"/>
                          <w:lang w:val="id-ID"/>
                        </w:rPr>
                      </w:pPr>
                    </w:p>
                    <w:p w14:paraId="3B91AFA7" w14:textId="77777777" w:rsidR="0092577C" w:rsidRPr="000102E1" w:rsidRDefault="0092577C" w:rsidP="0092577C">
                      <w:pPr>
                        <w:pStyle w:val="Header"/>
                        <w:rPr>
                          <w:rFonts w:ascii="Garamond" w:hAnsi="Garamond"/>
                          <w:b/>
                          <w:bCs/>
                          <w:color w:val="FFFFFF"/>
                          <w:sz w:val="10"/>
                          <w:szCs w:val="10"/>
                        </w:rPr>
                      </w:pPr>
                    </w:p>
                    <w:p w14:paraId="5F0C7873" w14:textId="77777777" w:rsidR="0092577C" w:rsidRPr="000102E1" w:rsidRDefault="0092577C" w:rsidP="0092577C">
                      <w:pPr>
                        <w:pStyle w:val="Header"/>
                        <w:jc w:val="both"/>
                        <w:rPr>
                          <w:b/>
                          <w:bCs/>
                          <w:color w:val="FFFFFF"/>
                          <w:sz w:val="18"/>
                          <w:szCs w:val="18"/>
                        </w:rPr>
                      </w:pPr>
                    </w:p>
                    <w:p w14:paraId="06FBC6A9" w14:textId="77777777" w:rsidR="00CA36DF" w:rsidRPr="00B000D7" w:rsidRDefault="00CA36DF" w:rsidP="00CA36DF">
                      <w:pPr>
                        <w:pStyle w:val="Header"/>
                        <w:jc w:val="both"/>
                        <w:rPr>
                          <w:b/>
                          <w:bCs/>
                          <w:color w:val="FFFFFF"/>
                          <w:sz w:val="18"/>
                          <w:szCs w:val="18"/>
                        </w:rPr>
                      </w:pPr>
                    </w:p>
                  </w:txbxContent>
                </v:textbox>
              </v:rect>
              <v:rect id="Rectangle 158" o:spid="_x0000_s1028" style="position:absolute;left:9763;top:14903;width:21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fnRcIA&#10;AADbAAAADwAAAGRycy9kb3ducmV2LnhtbERPTWsCMRC9F/wPYQQvRbP2ILIapYiCFKWoi/Q4Taa7&#10;i5vJkkRd/31TKHibx/uc+bKzjbiRD7VjBeNRBoJYO1NzqaA4bYZTECEiG2wck4IHBVguei9zzI27&#10;84Fux1iKFMIhRwVVjG0uZdAVWQwj1xIn7sd5izFBX0rj8Z7CbSPfsmwiLdacGipsaVWRvhyvVsF6&#10;NbVf51f9/el84T92h/026L1Sg373PgMRqYtP8b97a9L8Mfz9kg6Qi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dFwgAAANsAAAAPAAAAAAAAAAAAAAAAAJgCAABkcnMvZG93&#10;bnJldi54bWxQSwUGAAAAAAQABAD1AAAAhwMAAAAA&#10;" fillcolor="#953735" stroked="f">
                <v:textbox>
                  <w:txbxContent>
                    <w:p w14:paraId="320CD437"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DD251B" w:rsidRPr="00DD251B">
                        <w:rPr>
                          <w:rFonts w:ascii="Garamond" w:hAnsi="Garamond"/>
                          <w:noProof/>
                          <w:color w:val="FFFFFF"/>
                          <w:sz w:val="18"/>
                        </w:rPr>
                        <w:t>14</w:t>
                      </w:r>
                      <w:r w:rsidRPr="00BE0AD4">
                        <w:rPr>
                          <w:rFonts w:ascii="Garamond" w:hAnsi="Garamond"/>
                          <w:sz w:val="18"/>
                        </w:rPr>
                        <w:fldChar w:fldCharType="end"/>
                      </w:r>
                    </w:p>
                  </w:txbxContent>
                </v:textbox>
              </v:rect>
              <v:rect id="Rectangle 159" o:spid="_x0000_s1029"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NCvMAA&#10;AADbAAAADwAAAGRycy9kb3ducmV2LnhtbERP32vCMBB+F/wfwg18s+kEZXRG6WSCT8KcoHs7mltS&#10;bC6lyWz97xdB8O0+vp+3XA+uEVfqQu1ZwWuWgyCuvK7ZKDh+b6dvIEJE1th4JgU3CrBejUdLLLTv&#10;+Yuuh2hECuFQoAIbY1tIGSpLDkPmW+LE/frOYUywM1J32Kdw18hZni+kw5pTg8WWNpaqy+HPKfhs&#10;f/bl3ARZnqI9X/xHv7V7o9TkZSjfQUQa4lP8cO90mj+D+y/pA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0NCvMAAAADbAAAADwAAAAAAAAAAAAAAAACYAgAAZHJzL2Rvd25y&#10;ZXYueG1sUEsFBgAAAAAEAAQA9QAAAIUDAAAAAA==&#10;" filled="f"/>
              <w10:wrap type="topAndBottom" anchorx="page" anchory="line"/>
            </v:group>
          </w:pict>
        </mc:Fallback>
      </mc:AlternateContent>
    </w:r>
  </w:p>
  <w:p w14:paraId="5222E90A" w14:textId="77777777" w:rsidR="00CA36DF" w:rsidRDefault="00CA36DF" w:rsidP="00CA36DF">
    <w:pPr>
      <w:pStyle w:val="Footer"/>
    </w:pPr>
  </w:p>
  <w:p w14:paraId="2052F495" w14:textId="77777777" w:rsidR="00CA36DF" w:rsidRDefault="00CA36DF" w:rsidP="00CA36DF">
    <w:pPr>
      <w:pStyle w:val="Footer"/>
      <w:rPr>
        <w:i/>
        <w:szCs w:val="22"/>
        <w:lang w:val="id-ID"/>
      </w:rPr>
    </w:pPr>
  </w:p>
  <w:p w14:paraId="297DCAB4" w14:textId="77777777" w:rsidR="00CA36DF" w:rsidRDefault="00CA36DF" w:rsidP="00CA36DF">
    <w:pPr>
      <w:pStyle w:val="Footer"/>
      <w:rPr>
        <w:i/>
        <w:szCs w:val="22"/>
        <w:lang w:val="id-ID"/>
      </w:rPr>
    </w:pPr>
  </w:p>
  <w:p w14:paraId="59D6154F" w14:textId="77777777" w:rsidR="00CA36DF" w:rsidRDefault="00CA36DF" w:rsidP="00CA36DF">
    <w:pPr>
      <w:pStyle w:val="Footer"/>
      <w:rPr>
        <w:i/>
        <w:szCs w:val="22"/>
        <w:lang w:val="id-ID" w:eastAsia="ko-KR"/>
      </w:rPr>
    </w:pPr>
  </w:p>
  <w:p w14:paraId="1B91D119" w14:textId="04FC6134" w:rsidR="000E199B" w:rsidRPr="00D23B5E" w:rsidRDefault="000E199B" w:rsidP="008B04B3">
    <w:pPr>
      <w:pStyle w:val="Header"/>
      <w:tabs>
        <w:tab w:val="clear" w:pos="4320"/>
        <w:tab w:val="clear" w:pos="8640"/>
        <w:tab w:val="left" w:pos="2992"/>
      </w:tabs>
      <w:ind w:right="90"/>
      <w:rPr>
        <w:color w:val="FFFFFF"/>
        <w:sz w:val="22"/>
        <w:szCs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A570F4" w14:textId="4066B677" w:rsidR="00CA36DF" w:rsidRDefault="0032035E" w:rsidP="00CA36DF">
    <w:pPr>
      <w:pStyle w:val="Footer"/>
    </w:pPr>
    <w:r>
      <w:rPr>
        <w:noProof/>
        <w:lang w:val="en-US"/>
      </w:rPr>
      <mc:AlternateContent>
        <mc:Choice Requires="wpg">
          <w:drawing>
            <wp:anchor distT="0" distB="0" distL="114300" distR="114300" simplePos="0" relativeHeight="251662336" behindDoc="0" locked="0" layoutInCell="1" allowOverlap="1" wp14:anchorId="2A5CA9C3" wp14:editId="1E0DDBC4">
              <wp:simplePos x="0" y="0"/>
              <wp:positionH relativeFrom="page">
                <wp:align>center</wp:align>
              </wp:positionH>
              <wp:positionV relativeFrom="line">
                <wp:align>top</wp:align>
              </wp:positionV>
              <wp:extent cx="5859145" cy="428625"/>
              <wp:effectExtent l="0" t="0" r="27305" b="28575"/>
              <wp:wrapTopAndBottom/>
              <wp:docPr id="5"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9145" cy="428625"/>
                        <a:chOff x="321" y="14850"/>
                        <a:chExt cx="11601" cy="547"/>
                      </a:xfrm>
                    </wpg:grpSpPr>
                    <wps:wsp>
                      <wps:cNvPr id="6" name="Rectangle 157"/>
                      <wps:cNvSpPr>
                        <a:spLocks noChangeArrowheads="1"/>
                      </wps:cNvSpPr>
                      <wps:spPr bwMode="auto">
                        <a:xfrm>
                          <a:off x="374" y="14903"/>
                          <a:ext cx="9346" cy="432"/>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6C2384B8" w14:textId="77777777" w:rsidR="0092577C" w:rsidRPr="000102E1" w:rsidRDefault="0092577C" w:rsidP="0092577C">
                            <w:pPr>
                              <w:jc w:val="center"/>
                              <w:rPr>
                                <w:rFonts w:ascii="Book Antiqua" w:hAnsi="Book Antiqua"/>
                                <w:b/>
                                <w:bCs/>
                                <w:color w:val="FFFFFF" w:themeColor="background1"/>
                                <w:sz w:val="18"/>
                                <w:szCs w:val="18"/>
                                <w:lang w:val="id-ID"/>
                              </w:rPr>
                            </w:pPr>
                            <w:r w:rsidRPr="000102E1">
                              <w:rPr>
                                <w:rFonts w:ascii="Book Antiqua" w:hAnsi="Book Antiqua"/>
                                <w:b/>
                                <w:color w:val="FFFFFF" w:themeColor="background1"/>
                                <w:sz w:val="18"/>
                                <w:szCs w:val="18"/>
                              </w:rPr>
                              <w:t>Dios Ferdian Harefa</w:t>
                            </w:r>
                            <w:r w:rsidRPr="000102E1">
                              <w:rPr>
                                <w:rFonts w:ascii="Book Antiqua" w:hAnsi="Book Antiqua"/>
                                <w:b/>
                                <w:bCs/>
                                <w:color w:val="FFFFFF" w:themeColor="background1"/>
                                <w:spacing w:val="60"/>
                                <w:sz w:val="18"/>
                                <w:szCs w:val="18"/>
                                <w:lang w:val="id-ID"/>
                              </w:rPr>
                              <w:t>:</w:t>
                            </w:r>
                            <w:r w:rsidRPr="000102E1">
                              <w:rPr>
                                <w:rFonts w:ascii="Book Antiqua" w:hAnsi="Book Antiqua"/>
                                <w:b/>
                                <w:color w:val="FFFFFF" w:themeColor="background1"/>
                                <w:sz w:val="24"/>
                                <w:szCs w:val="24"/>
                              </w:rPr>
                              <w:t xml:space="preserve"> </w:t>
                            </w:r>
                            <w:r w:rsidRPr="000102E1">
                              <w:rPr>
                                <w:rFonts w:ascii="Book Antiqua" w:hAnsi="Book Antiqua"/>
                                <w:b/>
                                <w:i/>
                                <w:iCs/>
                                <w:color w:val="FFFFFF" w:themeColor="background1"/>
                                <w:sz w:val="18"/>
                                <w:szCs w:val="18"/>
                              </w:rPr>
                              <w:t>Analisa Hukum Peranan Kementerin Keuangan Dalam Pengajuan Permohonan Pailit Terhadap Debitor BUMN</w:t>
                            </w:r>
                          </w:p>
                          <w:p w14:paraId="29A764E1" w14:textId="77777777" w:rsidR="0092577C" w:rsidRPr="000102E1" w:rsidRDefault="0092577C" w:rsidP="0092577C">
                            <w:pPr>
                              <w:pStyle w:val="Header"/>
                              <w:jc w:val="both"/>
                              <w:rPr>
                                <w:rFonts w:ascii="Garamond" w:hAnsi="Garamond"/>
                                <w:b/>
                                <w:bCs/>
                                <w:color w:val="FFFFFF"/>
                                <w:sz w:val="18"/>
                                <w:szCs w:val="18"/>
                                <w:lang w:val="id-ID"/>
                              </w:rPr>
                            </w:pPr>
                          </w:p>
                          <w:p w14:paraId="15D5E415" w14:textId="77777777" w:rsidR="0092577C" w:rsidRPr="000102E1" w:rsidRDefault="0092577C" w:rsidP="0092577C">
                            <w:pPr>
                              <w:pStyle w:val="Header"/>
                              <w:rPr>
                                <w:rFonts w:ascii="Garamond" w:hAnsi="Garamond"/>
                                <w:b/>
                                <w:bCs/>
                                <w:color w:val="FFFFFF"/>
                                <w:sz w:val="10"/>
                                <w:szCs w:val="10"/>
                              </w:rPr>
                            </w:pPr>
                          </w:p>
                          <w:p w14:paraId="499BB306" w14:textId="77777777" w:rsidR="0092577C" w:rsidRPr="000102E1" w:rsidRDefault="0092577C" w:rsidP="0092577C">
                            <w:pPr>
                              <w:pStyle w:val="Header"/>
                              <w:jc w:val="both"/>
                              <w:rPr>
                                <w:b/>
                                <w:bCs/>
                                <w:color w:val="FFFFFF"/>
                                <w:sz w:val="18"/>
                                <w:szCs w:val="18"/>
                              </w:rPr>
                            </w:pPr>
                          </w:p>
                          <w:p w14:paraId="64317822" w14:textId="77777777" w:rsidR="00CA36DF" w:rsidRPr="00B000D7" w:rsidRDefault="00CA36DF" w:rsidP="00CA36DF">
                            <w:pPr>
                              <w:pStyle w:val="Header"/>
                              <w:jc w:val="both"/>
                              <w:rPr>
                                <w:b/>
                                <w:bCs/>
                                <w:color w:val="FFFFFF"/>
                                <w:sz w:val="18"/>
                                <w:szCs w:val="18"/>
                              </w:rPr>
                            </w:pPr>
                          </w:p>
                        </w:txbxContent>
                      </wps:txbx>
                      <wps:bodyPr rot="0" vert="horz" wrap="square" lIns="91440" tIns="45720" rIns="91440" bIns="45720" anchor="t" anchorCtr="0" upright="1">
                        <a:noAutofit/>
                      </wps:bodyPr>
                    </wps:wsp>
                    <wps:wsp>
                      <wps:cNvPr id="7" name="Rectangle 158"/>
                      <wps:cNvSpPr>
                        <a:spLocks noChangeArrowheads="1"/>
                      </wps:cNvSpPr>
                      <wps:spPr bwMode="auto">
                        <a:xfrm>
                          <a:off x="9763" y="14903"/>
                          <a:ext cx="2102" cy="432"/>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30263A"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DD251B" w:rsidRPr="00DD251B">
                              <w:rPr>
                                <w:rFonts w:ascii="Garamond" w:hAnsi="Garamond"/>
                                <w:noProof/>
                                <w:color w:val="FFFFFF"/>
                                <w:sz w:val="18"/>
                              </w:rPr>
                              <w:t>13</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8"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30" style="position:absolute;margin-left:0;margin-top:0;width:461.35pt;height:33.75pt;z-index:251662336;mso-position-horizontal:center;mso-position-horizontal-relative:page;mso-position-vertical:top;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">
              <v:rect id="Rectangle 157" o:spid="_x0000_s1031" style="position:absolute;left:374;top:14903;width:934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ErbcMA&#10;AADaAAAADwAAAGRycy9kb3ducmV2LnhtbESPzWrDMBCE74W+g9hCb7WcUozjRgklUPChl9o55LhY&#10;W9vEWrmS6p+3rwKBHIeZ+YbZHRYziImc7y0r2CQpCOLG6p5bBaf68yUH4QOyxsEyKVjJw2H/+LDD&#10;QtuZv2mqQisihH2BCroQxkJK33Rk0Cd2JI7ej3UGQ5SuldrhHOFmkK9pmkmDPceFDkc6dtRcqj+j&#10;4DcPb/m6zVy5aS7l+pWv5lwflXp+Wj7eQQRawj18a5daQQbXK/EGyP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ErbcMAAADaAAAADwAAAAAAAAAAAAAAAACYAgAAZHJzL2Rv&#10;d25yZXYueG1sUEsFBgAAAAAEAAQA9QAAAIgDAAAAAA==&#10;" fillcolor="#953735" stroked="f" strokecolor="#943634">
                <v:textbox>
                  <w:txbxContent>
                    <w:p w14:paraId="6C2384B8" w14:textId="77777777" w:rsidR="0092577C" w:rsidRPr="000102E1" w:rsidRDefault="0092577C" w:rsidP="0092577C">
                      <w:pPr>
                        <w:jc w:val="center"/>
                        <w:rPr>
                          <w:rFonts w:ascii="Book Antiqua" w:hAnsi="Book Antiqua"/>
                          <w:b/>
                          <w:bCs/>
                          <w:color w:val="FFFFFF" w:themeColor="background1"/>
                          <w:sz w:val="18"/>
                          <w:szCs w:val="18"/>
                          <w:lang w:val="id-ID"/>
                        </w:rPr>
                      </w:pPr>
                      <w:r w:rsidRPr="000102E1">
                        <w:rPr>
                          <w:rFonts w:ascii="Book Antiqua" w:hAnsi="Book Antiqua"/>
                          <w:b/>
                          <w:color w:val="FFFFFF" w:themeColor="background1"/>
                          <w:sz w:val="18"/>
                          <w:szCs w:val="18"/>
                        </w:rPr>
                        <w:t>Dios Ferdian Harefa</w:t>
                      </w:r>
                      <w:r w:rsidRPr="000102E1">
                        <w:rPr>
                          <w:rFonts w:ascii="Book Antiqua" w:hAnsi="Book Antiqua"/>
                          <w:b/>
                          <w:bCs/>
                          <w:color w:val="FFFFFF" w:themeColor="background1"/>
                          <w:spacing w:val="60"/>
                          <w:sz w:val="18"/>
                          <w:szCs w:val="18"/>
                          <w:lang w:val="id-ID"/>
                        </w:rPr>
                        <w:t>:</w:t>
                      </w:r>
                      <w:r w:rsidRPr="000102E1">
                        <w:rPr>
                          <w:rFonts w:ascii="Book Antiqua" w:hAnsi="Book Antiqua"/>
                          <w:b/>
                          <w:color w:val="FFFFFF" w:themeColor="background1"/>
                          <w:sz w:val="24"/>
                          <w:szCs w:val="24"/>
                        </w:rPr>
                        <w:t xml:space="preserve"> </w:t>
                      </w:r>
                      <w:r w:rsidRPr="000102E1">
                        <w:rPr>
                          <w:rFonts w:ascii="Book Antiqua" w:hAnsi="Book Antiqua"/>
                          <w:b/>
                          <w:i/>
                          <w:iCs/>
                          <w:color w:val="FFFFFF" w:themeColor="background1"/>
                          <w:sz w:val="18"/>
                          <w:szCs w:val="18"/>
                        </w:rPr>
                        <w:t>Analisa Hukum Peranan Kementerin Keuangan Dalam Pengajuan Permohonan Pailit Terhadap Debitor BUMN</w:t>
                      </w:r>
                    </w:p>
                    <w:p w14:paraId="29A764E1" w14:textId="77777777" w:rsidR="0092577C" w:rsidRPr="000102E1" w:rsidRDefault="0092577C" w:rsidP="0092577C">
                      <w:pPr>
                        <w:pStyle w:val="Header"/>
                        <w:jc w:val="both"/>
                        <w:rPr>
                          <w:rFonts w:ascii="Garamond" w:hAnsi="Garamond"/>
                          <w:b/>
                          <w:bCs/>
                          <w:color w:val="FFFFFF"/>
                          <w:sz w:val="18"/>
                          <w:szCs w:val="18"/>
                          <w:lang w:val="id-ID"/>
                        </w:rPr>
                      </w:pPr>
                    </w:p>
                    <w:p w14:paraId="15D5E415" w14:textId="77777777" w:rsidR="0092577C" w:rsidRPr="000102E1" w:rsidRDefault="0092577C" w:rsidP="0092577C">
                      <w:pPr>
                        <w:pStyle w:val="Header"/>
                        <w:rPr>
                          <w:rFonts w:ascii="Garamond" w:hAnsi="Garamond"/>
                          <w:b/>
                          <w:bCs/>
                          <w:color w:val="FFFFFF"/>
                          <w:sz w:val="10"/>
                          <w:szCs w:val="10"/>
                        </w:rPr>
                      </w:pPr>
                    </w:p>
                    <w:p w14:paraId="499BB306" w14:textId="77777777" w:rsidR="0092577C" w:rsidRPr="000102E1" w:rsidRDefault="0092577C" w:rsidP="0092577C">
                      <w:pPr>
                        <w:pStyle w:val="Header"/>
                        <w:jc w:val="both"/>
                        <w:rPr>
                          <w:b/>
                          <w:bCs/>
                          <w:color w:val="FFFFFF"/>
                          <w:sz w:val="18"/>
                          <w:szCs w:val="18"/>
                        </w:rPr>
                      </w:pPr>
                    </w:p>
                    <w:p w14:paraId="64317822" w14:textId="77777777" w:rsidR="00CA36DF" w:rsidRPr="00B000D7" w:rsidRDefault="00CA36DF" w:rsidP="00CA36DF">
                      <w:pPr>
                        <w:pStyle w:val="Header"/>
                        <w:jc w:val="both"/>
                        <w:rPr>
                          <w:b/>
                          <w:bCs/>
                          <w:color w:val="FFFFFF"/>
                          <w:sz w:val="18"/>
                          <w:szCs w:val="18"/>
                        </w:rPr>
                      </w:pPr>
                    </w:p>
                  </w:txbxContent>
                </v:textbox>
              </v:rect>
              <v:rect id="Rectangle 158" o:spid="_x0000_s1032" style="position:absolute;left:9763;top:14903;width:21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KUJcQA&#10;AADaAAAADwAAAGRycy9kb3ducmV2LnhtbESPT2sCMRTE74LfITyhF6nZelDZGkWkgpSK+IfS4zN5&#10;7i5uXpYk1fXbNwXB4zAzv2Gm89bW4ko+VI4VvA0yEMTamYoLBcfD6nUCIkRkg7VjUnCnAPNZtzPF&#10;3Lgb7+i6j4VIEA45KihjbHIpgy7JYhi4hjh5Z+ctxiR9IY3HW4LbWg6zbCQtVpwWSmxoWZK+7H+t&#10;go/lxP589/Vp6/zRf37tNuugN0q99NrFO4hIbXyGH+21UTCG/yvpBsj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ClCXEAAAA2gAAAA8AAAAAAAAAAAAAAAAAmAIAAGRycy9k&#10;b3ducmV2LnhtbFBLBQYAAAAABAAEAPUAAACJAwAAAAA=&#10;" fillcolor="#953735" stroked="f">
                <v:textbox>
                  <w:txbxContent>
                    <w:p w14:paraId="5630263A" w14:textId="77777777" w:rsidR="00CA36DF" w:rsidRPr="00BE0AD4" w:rsidRDefault="00CA36DF" w:rsidP="00CA36DF">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DD251B" w:rsidRPr="00DD251B">
                        <w:rPr>
                          <w:rFonts w:ascii="Garamond" w:hAnsi="Garamond"/>
                          <w:noProof/>
                          <w:color w:val="FFFFFF"/>
                          <w:sz w:val="18"/>
                        </w:rPr>
                        <w:t>13</w:t>
                      </w:r>
                      <w:r w:rsidRPr="00BE0AD4">
                        <w:rPr>
                          <w:rFonts w:ascii="Garamond" w:hAnsi="Garamond"/>
                          <w:sz w:val="18"/>
                        </w:rPr>
                        <w:fldChar w:fldCharType="end"/>
                      </w:r>
                    </w:p>
                  </w:txbxContent>
                </v:textbox>
              </v:rect>
              <v:rect id="Rectangle 159" o:spid="_x0000_s1033"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Rp0r4A&#10;AADaAAAADwAAAGRycy9kb3ducmV2LnhtbERPTYvCMBC9L/gfwgje1lTBRapRqih4ElYF9TY0Y1Js&#10;JqWJtvvvN4eFPT7e93Ldu1q8qQ2VZwWTcQaCuPS6YqPgct5/zkGEiKyx9kwKfijAejX4WGKufcff&#10;9D5FI1IIhxwV2BibXMpQWnIYxr4hTtzDtw5jgq2RusUuhbtaTrPsSzqsODVYbGhrqXyeXk7Brrkf&#10;i5kJsrhGe3v6Tbe3R6PUaNgXCxCR+vgv/nMftIK0NV1JN0Cuf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dkadK+AAAA2gAAAA8AAAAAAAAAAAAAAAAAmAIAAGRycy9kb3ducmV2&#10;LnhtbFBLBQYAAAAABAAEAPUAAACDAwAAAAA=&#10;" filled="f"/>
              <w10:wrap type="topAndBottom" anchorx="page" anchory="line"/>
            </v:group>
          </w:pict>
        </mc:Fallback>
      </mc:AlternateContent>
    </w:r>
  </w:p>
  <w:p w14:paraId="03EB21FA" w14:textId="77777777" w:rsidR="00CA36DF" w:rsidRDefault="00CA36DF" w:rsidP="00CA36DF">
    <w:pPr>
      <w:pStyle w:val="Footer"/>
    </w:pPr>
  </w:p>
  <w:p w14:paraId="6E83256C" w14:textId="77777777" w:rsidR="00CA36DF" w:rsidRDefault="00CA36DF" w:rsidP="00CA36DF">
    <w:pPr>
      <w:pStyle w:val="Footer"/>
      <w:rPr>
        <w:i/>
        <w:szCs w:val="22"/>
        <w:lang w:val="id-ID"/>
      </w:rPr>
    </w:pPr>
  </w:p>
  <w:p w14:paraId="383F8384" w14:textId="77777777" w:rsidR="00CA36DF" w:rsidRDefault="00CA36DF" w:rsidP="00CA36DF">
    <w:pPr>
      <w:pStyle w:val="Footer"/>
      <w:rPr>
        <w:i/>
        <w:szCs w:val="22"/>
        <w:lang w:val="id-ID"/>
      </w:rPr>
    </w:pPr>
  </w:p>
  <w:p w14:paraId="77A52C5A" w14:textId="77777777" w:rsidR="00CA36DF" w:rsidRDefault="00CA36DF" w:rsidP="00CA36DF">
    <w:pPr>
      <w:pStyle w:val="Footer"/>
      <w:rPr>
        <w:i/>
        <w:szCs w:val="22"/>
        <w:lang w:val="id-ID" w:eastAsia="ko-KR"/>
      </w:rPr>
    </w:pPr>
  </w:p>
  <w:p w14:paraId="01621217" w14:textId="77777777" w:rsidR="00CA36DF" w:rsidRDefault="00CA36D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9E2A6C" w14:textId="193509A8" w:rsidR="002B1F0A" w:rsidRDefault="0032035E" w:rsidP="002B1F0A">
    <w:pPr>
      <w:pStyle w:val="Footer"/>
    </w:pPr>
    <w:r>
      <w:rPr>
        <w:noProof/>
        <w:lang w:val="en-US"/>
      </w:rPr>
      <mc:AlternateContent>
        <mc:Choice Requires="wpg">
          <w:drawing>
            <wp:anchor distT="0" distB="0" distL="114300" distR="114300" simplePos="0" relativeHeight="251658240" behindDoc="0" locked="0" layoutInCell="1" allowOverlap="1" wp14:anchorId="1C2C24F3" wp14:editId="03344512">
              <wp:simplePos x="0" y="0"/>
              <wp:positionH relativeFrom="page">
                <wp:align>center</wp:align>
              </wp:positionH>
              <wp:positionV relativeFrom="line">
                <wp:align>top</wp:align>
              </wp:positionV>
              <wp:extent cx="6057900" cy="438150"/>
              <wp:effectExtent l="0" t="0" r="0" b="0"/>
              <wp:wrapTopAndBottom/>
              <wp:docPr id="1"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8086" cy="438150"/>
                        <a:chOff x="76" y="14850"/>
                        <a:chExt cx="11996" cy="606"/>
                      </a:xfrm>
                    </wpg:grpSpPr>
                    <wps:wsp>
                      <wps:cNvPr id="2" name="Rectangle 157"/>
                      <wps:cNvSpPr>
                        <a:spLocks noChangeArrowheads="1"/>
                      </wps:cNvSpPr>
                      <wps:spPr bwMode="auto">
                        <a:xfrm>
                          <a:off x="76" y="14903"/>
                          <a:ext cx="10976" cy="553"/>
                        </a:xfrm>
                        <a:prstGeom prst="rect">
                          <a:avLst/>
                        </a:prstGeom>
                        <a:solidFill>
                          <a:srgbClr val="953735"/>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01DE7F68" w14:textId="77777777" w:rsidR="0092577C" w:rsidRPr="000102E1" w:rsidRDefault="0092577C" w:rsidP="0092577C">
                            <w:pPr>
                              <w:jc w:val="center"/>
                              <w:rPr>
                                <w:rFonts w:ascii="Book Antiqua" w:hAnsi="Book Antiqua"/>
                                <w:b/>
                                <w:bCs/>
                                <w:color w:val="FFFFFF" w:themeColor="background1"/>
                                <w:sz w:val="18"/>
                                <w:szCs w:val="18"/>
                                <w:lang w:val="id-ID"/>
                              </w:rPr>
                            </w:pPr>
                            <w:r w:rsidRPr="000102E1">
                              <w:rPr>
                                <w:rFonts w:ascii="Book Antiqua" w:hAnsi="Book Antiqua"/>
                                <w:b/>
                                <w:color w:val="FFFFFF" w:themeColor="background1"/>
                                <w:sz w:val="18"/>
                                <w:szCs w:val="18"/>
                              </w:rPr>
                              <w:t>Dios Ferdian Harefa</w:t>
                            </w:r>
                            <w:r w:rsidRPr="000102E1">
                              <w:rPr>
                                <w:rFonts w:ascii="Book Antiqua" w:hAnsi="Book Antiqua"/>
                                <w:b/>
                                <w:bCs/>
                                <w:color w:val="FFFFFF" w:themeColor="background1"/>
                                <w:spacing w:val="60"/>
                                <w:sz w:val="18"/>
                                <w:szCs w:val="18"/>
                                <w:lang w:val="id-ID"/>
                              </w:rPr>
                              <w:t>:</w:t>
                            </w:r>
                            <w:r w:rsidRPr="000102E1">
                              <w:rPr>
                                <w:rFonts w:ascii="Book Antiqua" w:hAnsi="Book Antiqua"/>
                                <w:b/>
                                <w:color w:val="FFFFFF" w:themeColor="background1"/>
                                <w:sz w:val="24"/>
                                <w:szCs w:val="24"/>
                              </w:rPr>
                              <w:t xml:space="preserve"> </w:t>
                            </w:r>
                            <w:r w:rsidRPr="000102E1">
                              <w:rPr>
                                <w:rFonts w:ascii="Book Antiqua" w:hAnsi="Book Antiqua"/>
                                <w:b/>
                                <w:i/>
                                <w:iCs/>
                                <w:color w:val="FFFFFF" w:themeColor="background1"/>
                                <w:sz w:val="18"/>
                                <w:szCs w:val="18"/>
                              </w:rPr>
                              <w:t>Analisa Hukum Peranan Kementerin Keuangan Dalam Pengajuan Permohonan Pailit Terhadap Debitor BUMN</w:t>
                            </w:r>
                          </w:p>
                          <w:p w14:paraId="4FCA58B3" w14:textId="77777777" w:rsidR="0092577C" w:rsidRPr="000102E1" w:rsidRDefault="0092577C" w:rsidP="0092577C">
                            <w:pPr>
                              <w:pStyle w:val="Header"/>
                              <w:jc w:val="both"/>
                              <w:rPr>
                                <w:rFonts w:ascii="Garamond" w:hAnsi="Garamond"/>
                                <w:b/>
                                <w:bCs/>
                                <w:color w:val="FFFFFF"/>
                                <w:sz w:val="18"/>
                                <w:szCs w:val="18"/>
                                <w:lang w:val="id-ID"/>
                              </w:rPr>
                            </w:pPr>
                          </w:p>
                          <w:p w14:paraId="20B9B368" w14:textId="77777777" w:rsidR="0092577C" w:rsidRPr="000102E1" w:rsidRDefault="0092577C" w:rsidP="0092577C">
                            <w:pPr>
                              <w:pStyle w:val="Header"/>
                              <w:rPr>
                                <w:rFonts w:ascii="Garamond" w:hAnsi="Garamond"/>
                                <w:b/>
                                <w:bCs/>
                                <w:color w:val="FFFFFF"/>
                                <w:sz w:val="10"/>
                                <w:szCs w:val="10"/>
                              </w:rPr>
                            </w:pPr>
                          </w:p>
                          <w:p w14:paraId="0F24683D" w14:textId="77777777" w:rsidR="0092577C" w:rsidRPr="000102E1" w:rsidRDefault="0092577C" w:rsidP="0092577C">
                            <w:pPr>
                              <w:pStyle w:val="Header"/>
                              <w:jc w:val="both"/>
                              <w:rPr>
                                <w:b/>
                                <w:bCs/>
                                <w:color w:val="FFFFFF"/>
                                <w:sz w:val="18"/>
                                <w:szCs w:val="18"/>
                              </w:rPr>
                            </w:pPr>
                          </w:p>
                          <w:p w14:paraId="02BF9C45" w14:textId="77777777" w:rsidR="0092577C" w:rsidRPr="000102E1" w:rsidRDefault="0092577C" w:rsidP="002B1F0A">
                            <w:pPr>
                              <w:pStyle w:val="Header"/>
                              <w:jc w:val="both"/>
                              <w:rPr>
                                <w:b/>
                                <w:bCs/>
                                <w:color w:val="FFFFFF"/>
                                <w:sz w:val="18"/>
                                <w:szCs w:val="18"/>
                              </w:rPr>
                            </w:pPr>
                          </w:p>
                        </w:txbxContent>
                      </wps:txbx>
                      <wps:bodyPr rot="0" vert="horz" wrap="square" lIns="91440" tIns="45720" rIns="91440" bIns="45720" anchor="t" anchorCtr="0" upright="1">
                        <a:noAutofit/>
                      </wps:bodyPr>
                    </wps:wsp>
                    <wps:wsp>
                      <wps:cNvPr id="3" name="Rectangle 158"/>
                      <wps:cNvSpPr>
                        <a:spLocks noChangeArrowheads="1"/>
                      </wps:cNvSpPr>
                      <wps:spPr bwMode="auto">
                        <a:xfrm>
                          <a:off x="11147" y="14903"/>
                          <a:ext cx="925" cy="553"/>
                        </a:xfrm>
                        <a:prstGeom prst="rect">
                          <a:avLst/>
                        </a:prstGeom>
                        <a:solidFill>
                          <a:srgbClr val="95373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402E35" w14:textId="77777777" w:rsidR="002B1F0A" w:rsidRPr="00BE0AD4" w:rsidRDefault="002B1F0A" w:rsidP="002B1F0A">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DD251B" w:rsidRPr="00DD251B">
                              <w:rPr>
                                <w:rFonts w:ascii="Garamond" w:hAnsi="Garamond"/>
                                <w:noProof/>
                                <w:color w:val="FFFFFF"/>
                                <w:sz w:val="18"/>
                              </w:rPr>
                              <w:t>1</w:t>
                            </w:r>
                            <w:r w:rsidRPr="00BE0AD4">
                              <w:rPr>
                                <w:rFonts w:ascii="Garamond" w:hAnsi="Garamond"/>
                                <w:sz w:val="18"/>
                              </w:rPr>
                              <w:fldChar w:fldCharType="end"/>
                            </w:r>
                          </w:p>
                        </w:txbxContent>
                      </wps:txbx>
                      <wps:bodyPr rot="0" vert="horz" wrap="square" lIns="91440" tIns="45720" rIns="91440" bIns="45720" anchor="t" anchorCtr="0" upright="1">
                        <a:noAutofit/>
                      </wps:bodyPr>
                    </wps:wsp>
                    <wps:wsp>
                      <wps:cNvPr id="4" name="Rectangle 159"/>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34" style="position:absolute;margin-left:0;margin-top:0;width:477pt;height:34.5pt;z-index:251658240;mso-position-horizontal:center;mso-position-horizontal-relative:page;mso-position-vertical:top;mso-position-vertical-relative:line" coordorigin="76,14850" coordsize="11996,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">
              <v:rect id="Rectangle 157" o:spid="_x0000_s1035" style="position:absolute;left:76;top:14903;width:10976;height: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tbsIA&#10;AADaAAAADwAAAGRycy9kb3ducmV2LnhtbESPT4vCMBTE74LfITxhb5paFulWo0hhoYe9+Ofg8dG8&#10;bYvNS02itt/eLCx4HGbmN8xmN5hOPMj51rKC5SIBQVxZ3XKt4Hz6nmcgfEDW2FkmBSN52G2nkw3m&#10;2j75QI9jqEWEsM9RQRNCn0vpq4YM+oXtiaP3a53BEKWrpXb4jHDTyTRJVtJgy3GhwZ6Khqrr8W4U&#10;3LLwmY1fK1cuq2s5/mSjuZwKpT5mw34NItAQ3uH/dqkVpPB3Jd4AuX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6i1uwgAAANoAAAAPAAAAAAAAAAAAAAAAAJgCAABkcnMvZG93&#10;bnJldi54bWxQSwUGAAAAAAQABAD1AAAAhwMAAAAA&#10;" fillcolor="#953735" stroked="f" strokecolor="#943634">
                <v:textbox>
                  <w:txbxContent>
                    <w:p w14:paraId="01DE7F68" w14:textId="77777777" w:rsidR="0092577C" w:rsidRPr="000102E1" w:rsidRDefault="0092577C" w:rsidP="0092577C">
                      <w:pPr>
                        <w:jc w:val="center"/>
                        <w:rPr>
                          <w:rFonts w:ascii="Book Antiqua" w:hAnsi="Book Antiqua"/>
                          <w:b/>
                          <w:bCs/>
                          <w:color w:val="FFFFFF" w:themeColor="background1"/>
                          <w:sz w:val="18"/>
                          <w:szCs w:val="18"/>
                          <w:lang w:val="id-ID"/>
                        </w:rPr>
                      </w:pPr>
                      <w:r w:rsidRPr="000102E1">
                        <w:rPr>
                          <w:rFonts w:ascii="Book Antiqua" w:hAnsi="Book Antiqua"/>
                          <w:b/>
                          <w:color w:val="FFFFFF" w:themeColor="background1"/>
                          <w:sz w:val="18"/>
                          <w:szCs w:val="18"/>
                        </w:rPr>
                        <w:t>Dios Ferdian Harefa</w:t>
                      </w:r>
                      <w:r w:rsidRPr="000102E1">
                        <w:rPr>
                          <w:rFonts w:ascii="Book Antiqua" w:hAnsi="Book Antiqua"/>
                          <w:b/>
                          <w:bCs/>
                          <w:color w:val="FFFFFF" w:themeColor="background1"/>
                          <w:spacing w:val="60"/>
                          <w:sz w:val="18"/>
                          <w:szCs w:val="18"/>
                          <w:lang w:val="id-ID"/>
                        </w:rPr>
                        <w:t>:</w:t>
                      </w:r>
                      <w:r w:rsidRPr="000102E1">
                        <w:rPr>
                          <w:rFonts w:ascii="Book Antiqua" w:hAnsi="Book Antiqua"/>
                          <w:b/>
                          <w:color w:val="FFFFFF" w:themeColor="background1"/>
                          <w:sz w:val="24"/>
                          <w:szCs w:val="24"/>
                        </w:rPr>
                        <w:t xml:space="preserve"> </w:t>
                      </w:r>
                      <w:r w:rsidRPr="000102E1">
                        <w:rPr>
                          <w:rFonts w:ascii="Book Antiqua" w:hAnsi="Book Antiqua"/>
                          <w:b/>
                          <w:i/>
                          <w:iCs/>
                          <w:color w:val="FFFFFF" w:themeColor="background1"/>
                          <w:sz w:val="18"/>
                          <w:szCs w:val="18"/>
                        </w:rPr>
                        <w:t>Analisa Hukum Peranan Kementerin Keuangan Dalam Pengajuan Permohonan Pailit Terhadap Debitor BUMN</w:t>
                      </w:r>
                    </w:p>
                    <w:p w14:paraId="4FCA58B3" w14:textId="77777777" w:rsidR="0092577C" w:rsidRPr="000102E1" w:rsidRDefault="0092577C" w:rsidP="0092577C">
                      <w:pPr>
                        <w:pStyle w:val="Header"/>
                        <w:jc w:val="both"/>
                        <w:rPr>
                          <w:rFonts w:ascii="Garamond" w:hAnsi="Garamond"/>
                          <w:b/>
                          <w:bCs/>
                          <w:color w:val="FFFFFF"/>
                          <w:sz w:val="18"/>
                          <w:szCs w:val="18"/>
                          <w:lang w:val="id-ID"/>
                        </w:rPr>
                      </w:pPr>
                    </w:p>
                    <w:p w14:paraId="20B9B368" w14:textId="77777777" w:rsidR="0092577C" w:rsidRPr="000102E1" w:rsidRDefault="0092577C" w:rsidP="0092577C">
                      <w:pPr>
                        <w:pStyle w:val="Header"/>
                        <w:rPr>
                          <w:rFonts w:ascii="Garamond" w:hAnsi="Garamond"/>
                          <w:b/>
                          <w:bCs/>
                          <w:color w:val="FFFFFF"/>
                          <w:sz w:val="10"/>
                          <w:szCs w:val="10"/>
                        </w:rPr>
                      </w:pPr>
                    </w:p>
                    <w:p w14:paraId="0F24683D" w14:textId="77777777" w:rsidR="0092577C" w:rsidRPr="000102E1" w:rsidRDefault="0092577C" w:rsidP="0092577C">
                      <w:pPr>
                        <w:pStyle w:val="Header"/>
                        <w:jc w:val="both"/>
                        <w:rPr>
                          <w:b/>
                          <w:bCs/>
                          <w:color w:val="FFFFFF"/>
                          <w:sz w:val="18"/>
                          <w:szCs w:val="18"/>
                        </w:rPr>
                      </w:pPr>
                    </w:p>
                    <w:p w14:paraId="02BF9C45" w14:textId="77777777" w:rsidR="0092577C" w:rsidRPr="000102E1" w:rsidRDefault="0092577C" w:rsidP="002B1F0A">
                      <w:pPr>
                        <w:pStyle w:val="Header"/>
                        <w:jc w:val="both"/>
                        <w:rPr>
                          <w:b/>
                          <w:bCs/>
                          <w:color w:val="FFFFFF"/>
                          <w:sz w:val="18"/>
                          <w:szCs w:val="18"/>
                        </w:rPr>
                      </w:pPr>
                    </w:p>
                  </w:txbxContent>
                </v:textbox>
              </v:rect>
              <v:rect id="Rectangle 158" o:spid="_x0000_s1036" style="position:absolute;left:11147;top:14903;width:925;height: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mSJsMA&#10;AADaAAAADwAAAGRycy9kb3ducmV2LnhtbESP3WoCMRSE7wXfIRyhN1KzVRDZGkWkgpSK+EPp5TE5&#10;7i5uTpYk1fXtm4Lg5TAz3zDTeWtrcSUfKscK3gYZCGLtTMWFguNh9ToBESKywdoxKbhTgPms25li&#10;btyNd3Tdx0IkCIccFZQxNrmUQZdkMQxcQ5y8s/MWY5K+kMbjLcFtLYdZNpYWK04LJTa0LElf9r9W&#10;wcdyYn+++/q0df7oP792m3XQG6Veeu3iHUSkNj7Dj/baKBjB/5V0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HmSJsMAAADaAAAADwAAAAAAAAAAAAAAAACYAgAAZHJzL2Rv&#10;d25yZXYueG1sUEsFBgAAAAAEAAQA9QAAAIgDAAAAAA==&#10;" fillcolor="#953735" stroked="f">
                <v:textbox>
                  <w:txbxContent>
                    <w:p w14:paraId="65402E35" w14:textId="77777777" w:rsidR="002B1F0A" w:rsidRPr="00BE0AD4" w:rsidRDefault="002B1F0A" w:rsidP="002B1F0A">
                      <w:pPr>
                        <w:pStyle w:val="Footer"/>
                        <w:jc w:val="center"/>
                        <w:rPr>
                          <w:rFonts w:ascii="Garamond" w:hAnsi="Garamond"/>
                          <w:color w:val="FFFFFF"/>
                          <w:sz w:val="18"/>
                        </w:rPr>
                      </w:pPr>
                      <w:r w:rsidRPr="00BE0AD4">
                        <w:rPr>
                          <w:rFonts w:ascii="Garamond" w:hAnsi="Garamond"/>
                          <w:sz w:val="18"/>
                        </w:rPr>
                        <w:fldChar w:fldCharType="begin"/>
                      </w:r>
                      <w:r w:rsidRPr="00BE0AD4">
                        <w:rPr>
                          <w:rFonts w:ascii="Garamond" w:hAnsi="Garamond"/>
                          <w:sz w:val="18"/>
                        </w:rPr>
                        <w:instrText xml:space="preserve"> PAGE   \* MERGEFORMAT </w:instrText>
                      </w:r>
                      <w:r w:rsidRPr="00BE0AD4">
                        <w:rPr>
                          <w:rFonts w:ascii="Garamond" w:hAnsi="Garamond"/>
                          <w:sz w:val="18"/>
                        </w:rPr>
                        <w:fldChar w:fldCharType="separate"/>
                      </w:r>
                      <w:r w:rsidR="00DD251B" w:rsidRPr="00DD251B">
                        <w:rPr>
                          <w:rFonts w:ascii="Garamond" w:hAnsi="Garamond"/>
                          <w:noProof/>
                          <w:color w:val="FFFFFF"/>
                          <w:sz w:val="18"/>
                        </w:rPr>
                        <w:t>1</w:t>
                      </w:r>
                      <w:r w:rsidRPr="00BE0AD4">
                        <w:rPr>
                          <w:rFonts w:ascii="Garamond" w:hAnsi="Garamond"/>
                          <w:sz w:val="18"/>
                        </w:rPr>
                        <w:fldChar w:fldCharType="end"/>
                      </w:r>
                    </w:p>
                  </w:txbxContent>
                </v:textbox>
              </v:rect>
              <v:rect id="Rectangle 159" o:spid="_x0000_s1037"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lj18MA&#10;AADaAAAADwAAAGRycy9kb3ducmV2LnhtbESPQWvCQBSE7wX/w/IEb3VTqaWkbiSKgiehWtDeHtnX&#10;3ZDs25DdmvTfd4VCj8PMfMOs1qNrxY36UHtW8DTPQBBXXtdsFHyc94+vIEJE1th6JgU/FGBdTB5W&#10;mGs/8DvdTtGIBOGQowIbY5dLGSpLDsPcd8TJ+/K9w5hkb6TucUhw18pFlr1IhzWnBYsdbS1Vzenb&#10;Kdh1n8dyaYIsL9FeG78Z9vZolJpNx/INRKQx/of/2get4BnuV9INk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ilj18MAAADaAAAADwAAAAAAAAAAAAAAAACYAgAAZHJzL2Rv&#10;d25yZXYueG1sUEsFBgAAAAAEAAQA9QAAAIgDAAAAAA==&#10;" filled="f"/>
              <w10:wrap type="topAndBottom" anchorx="page" anchory="line"/>
            </v:group>
          </w:pict>
        </mc:Fallback>
      </mc:AlternateContent>
    </w:r>
  </w:p>
  <w:p w14:paraId="77CE4839" w14:textId="77777777" w:rsidR="002B1F0A" w:rsidRDefault="002B1F0A" w:rsidP="002B1F0A">
    <w:pPr>
      <w:pStyle w:val="Footer"/>
    </w:pPr>
  </w:p>
  <w:p w14:paraId="4DE83ACB" w14:textId="77777777" w:rsidR="00874965" w:rsidRDefault="00874965">
    <w:pPr>
      <w:pStyle w:val="Footer"/>
      <w:rPr>
        <w:i/>
        <w:szCs w:val="22"/>
        <w:lang w:val="id-ID"/>
      </w:rPr>
    </w:pPr>
  </w:p>
  <w:p w14:paraId="61246705" w14:textId="77777777" w:rsidR="00874965" w:rsidRDefault="00874965">
    <w:pPr>
      <w:pStyle w:val="Footer"/>
      <w:rPr>
        <w:i/>
        <w:szCs w:val="22"/>
        <w:lang w:val="id-ID"/>
      </w:rPr>
    </w:pPr>
  </w:p>
  <w:p w14:paraId="4C910C86" w14:textId="38CCD5E7" w:rsidR="00874965" w:rsidRDefault="00333204" w:rsidP="00333204">
    <w:pPr>
      <w:pStyle w:val="Footer"/>
      <w:tabs>
        <w:tab w:val="clear" w:pos="4320"/>
        <w:tab w:val="clear" w:pos="8640"/>
        <w:tab w:val="left" w:pos="5325"/>
      </w:tabs>
      <w:rPr>
        <w:i/>
        <w:szCs w:val="22"/>
        <w:lang w:val="id-ID" w:eastAsia="ko-KR"/>
      </w:rPr>
    </w:pPr>
    <w:r>
      <w:rPr>
        <w:i/>
        <w:szCs w:val="22"/>
        <w:lang w:val="id-ID" w:eastAsia="ko-KR"/>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F64E39" w14:textId="77777777" w:rsidR="00CB1AC1" w:rsidRDefault="00CB1AC1">
      <w:r>
        <w:separator/>
      </w:r>
    </w:p>
  </w:footnote>
  <w:footnote w:type="continuationSeparator" w:id="0">
    <w:p w14:paraId="72996DFE" w14:textId="77777777" w:rsidR="00CB1AC1" w:rsidRDefault="00CB1AC1">
      <w:r>
        <w:continuationSeparator/>
      </w:r>
    </w:p>
  </w:footnote>
  <w:footnote w:id="1">
    <w:p w14:paraId="7558AA8C" w14:textId="4C1E85AB" w:rsidR="009976BA" w:rsidRPr="00C04E36" w:rsidRDefault="009976BA" w:rsidP="00DD251B">
      <w:pPr>
        <w:pStyle w:val="FootnoteText"/>
        <w:ind w:firstLine="567"/>
        <w:jc w:val="both"/>
        <w:rPr>
          <w:rFonts w:ascii="Book Antiqua" w:hAnsi="Book Antiqua"/>
        </w:rPr>
      </w:pPr>
      <w:r w:rsidRPr="00C04E36">
        <w:rPr>
          <w:rStyle w:val="FootnoteReference"/>
          <w:rFonts w:ascii="Book Antiqua" w:hAnsi="Book Antiqua"/>
        </w:rPr>
        <w:footnoteRef/>
      </w:r>
      <w:r w:rsidRPr="00C04E36">
        <w:rPr>
          <w:rFonts w:ascii="Book Antiqua" w:hAnsi="Book Antiqua"/>
        </w:rPr>
        <w:t xml:space="preserve"> </w:t>
      </w:r>
      <w:r w:rsidR="00530F04" w:rsidRPr="00C04E36">
        <w:rPr>
          <w:rFonts w:ascii="Book Antiqua" w:hAnsi="Book Antiqua"/>
          <w:lang w:val="id-ID"/>
        </w:rPr>
        <w:t>Paisol Burlian, “</w:t>
      </w:r>
      <w:r w:rsidR="00530F04" w:rsidRPr="00C04E36">
        <w:rPr>
          <w:rFonts w:ascii="Book Antiqua" w:hAnsi="Book Antiqua"/>
          <w:i/>
          <w:iCs/>
          <w:lang w:val="id-ID"/>
        </w:rPr>
        <w:t>Kewenagan Pengajuan Permohonan Pailit Terhadap Perusahaan Asuransi</w:t>
      </w:r>
      <w:r w:rsidR="00530F04" w:rsidRPr="00C04E36">
        <w:rPr>
          <w:rFonts w:ascii="Book Antiqua" w:hAnsi="Book Antiqua"/>
          <w:lang w:val="id-ID"/>
        </w:rPr>
        <w:t xml:space="preserve">” </w:t>
      </w:r>
      <w:r w:rsidR="00530F04" w:rsidRPr="00C04E36">
        <w:rPr>
          <w:rFonts w:ascii="Book Antiqua" w:hAnsi="Book Antiqua"/>
          <w:i/>
          <w:iCs/>
          <w:lang w:val="id-ID"/>
        </w:rPr>
        <w:t>Jurnal ilmu hukum Magister Hukum</w:t>
      </w:r>
      <w:r w:rsidR="00530F04" w:rsidRPr="00C04E36">
        <w:rPr>
          <w:rFonts w:ascii="Book Antiqua" w:hAnsi="Book Antiqua"/>
          <w:lang w:val="id-ID"/>
        </w:rPr>
        <w:t>, volume 1, nomor 2, 2016, (Universitas Muhammadiyah Palembang), hlm 1</w:t>
      </w:r>
    </w:p>
  </w:footnote>
  <w:footnote w:id="2">
    <w:p w14:paraId="0E724F44" w14:textId="77130A0D" w:rsidR="00C04E36" w:rsidRDefault="00C04E36" w:rsidP="00DD251B">
      <w:pPr>
        <w:pStyle w:val="FootnoteText"/>
        <w:ind w:firstLine="567"/>
        <w:jc w:val="both"/>
      </w:pPr>
      <w:r w:rsidRPr="00C04E36">
        <w:rPr>
          <w:rStyle w:val="FootnoteReference"/>
          <w:rFonts w:ascii="Book Antiqua" w:hAnsi="Book Antiqua"/>
        </w:rPr>
        <w:footnoteRef/>
      </w:r>
      <w:r w:rsidRPr="00C04E36">
        <w:rPr>
          <w:rFonts w:ascii="Book Antiqua" w:hAnsi="Book Antiqua"/>
        </w:rPr>
        <w:t xml:space="preserve"> </w:t>
      </w:r>
      <w:bookmarkStart w:id="0" w:name="_Hlk44297943"/>
      <w:r w:rsidR="00530F04" w:rsidRPr="00C04E36">
        <w:rPr>
          <w:rFonts w:ascii="Book Antiqua" w:hAnsi="Book Antiqua"/>
        </w:rPr>
        <w:t xml:space="preserve">Andriani Nurdin, </w:t>
      </w:r>
      <w:r w:rsidR="00530F04" w:rsidRPr="00C04E36">
        <w:rPr>
          <w:rFonts w:ascii="Book Antiqua" w:hAnsi="Book Antiqua"/>
          <w:i/>
          <w:iCs/>
        </w:rPr>
        <w:t>Kepailitan BUMN Persero Berdasarkan Asas Kepastian Hukum</w:t>
      </w:r>
      <w:bookmarkEnd w:id="0"/>
      <w:r w:rsidR="00530F04" w:rsidRPr="00C04E36">
        <w:rPr>
          <w:rFonts w:ascii="Book Antiqua" w:hAnsi="Book Antiqua"/>
        </w:rPr>
        <w:t>, Bandung: P.T. Alumni, 2012, hlm. 1</w:t>
      </w:r>
    </w:p>
  </w:footnote>
  <w:footnote w:id="3">
    <w:p w14:paraId="5D9D6353" w14:textId="2E09C5D7" w:rsidR="00C04E36" w:rsidRPr="00C04E36" w:rsidRDefault="00C04E36" w:rsidP="00DD251B">
      <w:pPr>
        <w:pStyle w:val="FootnoteText"/>
        <w:ind w:firstLine="567"/>
        <w:jc w:val="both"/>
        <w:rPr>
          <w:rFonts w:ascii="Book Antiqua" w:hAnsi="Book Antiqua"/>
          <w:i/>
        </w:rPr>
      </w:pPr>
      <w:r>
        <w:rPr>
          <w:rStyle w:val="FootnoteReference"/>
        </w:rPr>
        <w:footnoteRef/>
      </w:r>
      <w:r>
        <w:t xml:space="preserve"> </w:t>
      </w:r>
      <w:r>
        <w:rPr>
          <w:rFonts w:ascii="Book Antiqua" w:hAnsi="Book Antiqua"/>
          <w:i/>
        </w:rPr>
        <w:t>Ibid., p. 2</w:t>
      </w:r>
    </w:p>
  </w:footnote>
  <w:footnote w:id="4">
    <w:p w14:paraId="526D2E6F" w14:textId="57F551E3" w:rsidR="00C04E36" w:rsidRDefault="00C04E36" w:rsidP="00DD251B">
      <w:pPr>
        <w:pStyle w:val="FootnoteText"/>
        <w:ind w:firstLine="567"/>
        <w:jc w:val="both"/>
      </w:pPr>
      <w:r>
        <w:rPr>
          <w:rStyle w:val="FootnoteReference"/>
        </w:rPr>
        <w:footnoteRef/>
      </w:r>
      <w:r>
        <w:t xml:space="preserve"> </w:t>
      </w:r>
      <w:r w:rsidR="00530F04" w:rsidRPr="00C04E36">
        <w:rPr>
          <w:rFonts w:ascii="Book Antiqua" w:hAnsi="Book Antiqua"/>
          <w:lang w:val="id-ID"/>
        </w:rPr>
        <w:t>Pasal 2 ayat (5) Undang-undang Nomor 37 tahun 2004 Tentang Kepailitan dan Penundaan Kewajiban Pembayaran Utang</w:t>
      </w:r>
    </w:p>
  </w:footnote>
  <w:footnote w:id="5">
    <w:p w14:paraId="28C3D953" w14:textId="173764F9" w:rsidR="00C04E36" w:rsidRPr="00BF3105" w:rsidRDefault="00C04E36" w:rsidP="00DD251B">
      <w:pPr>
        <w:pStyle w:val="FootnoteText"/>
        <w:ind w:firstLine="567"/>
        <w:jc w:val="both"/>
        <w:rPr>
          <w:rFonts w:ascii="Book Antiqua" w:hAnsi="Book Antiqua"/>
        </w:rPr>
      </w:pPr>
      <w:r w:rsidRPr="00BF3105">
        <w:rPr>
          <w:rStyle w:val="FootnoteReference"/>
          <w:rFonts w:ascii="Book Antiqua" w:hAnsi="Book Antiqua"/>
        </w:rPr>
        <w:footnoteRef/>
      </w:r>
      <w:r w:rsidRPr="00BF3105">
        <w:rPr>
          <w:rFonts w:ascii="Book Antiqua" w:hAnsi="Book Antiqua"/>
        </w:rPr>
        <w:t xml:space="preserve"> </w:t>
      </w:r>
      <w:bookmarkStart w:id="1" w:name="_Hlk44298168"/>
      <w:r w:rsidR="00530F04" w:rsidRPr="00BF3105">
        <w:rPr>
          <w:rFonts w:ascii="Book Antiqua" w:hAnsi="Book Antiqua"/>
        </w:rPr>
        <w:t xml:space="preserve">Johnny Ibrahim, </w:t>
      </w:r>
      <w:r w:rsidR="00530F04" w:rsidRPr="00BF3105">
        <w:rPr>
          <w:rFonts w:ascii="Book Antiqua" w:hAnsi="Book Antiqua"/>
          <w:i/>
        </w:rPr>
        <w:t>Teori dan Metodologi Penelitian Hukum Normatif,</w:t>
      </w:r>
      <w:r w:rsidR="00530F04" w:rsidRPr="00BF3105">
        <w:rPr>
          <w:rFonts w:ascii="Book Antiqua" w:hAnsi="Book Antiqua"/>
          <w:iCs/>
        </w:rPr>
        <w:t xml:space="preserve"> Malang:</w:t>
      </w:r>
      <w:r w:rsidR="00530F04" w:rsidRPr="00BF3105">
        <w:rPr>
          <w:rFonts w:ascii="Book Antiqua" w:hAnsi="Book Antiqua"/>
          <w:i/>
        </w:rPr>
        <w:t xml:space="preserve"> </w:t>
      </w:r>
      <w:r w:rsidR="00530F04" w:rsidRPr="00BF3105">
        <w:rPr>
          <w:rFonts w:ascii="Book Antiqua" w:hAnsi="Book Antiqua"/>
        </w:rPr>
        <w:t>Bayumedia Publishing, 2006</w:t>
      </w:r>
      <w:bookmarkEnd w:id="1"/>
      <w:r w:rsidR="00530F04" w:rsidRPr="00BF3105">
        <w:rPr>
          <w:rFonts w:ascii="Book Antiqua" w:hAnsi="Book Antiqua"/>
        </w:rPr>
        <w:t>, hlm. 295</w:t>
      </w:r>
    </w:p>
  </w:footnote>
  <w:footnote w:id="6">
    <w:p w14:paraId="7C74FF85" w14:textId="26EDDA59" w:rsidR="00C04E36" w:rsidRPr="00BF3105" w:rsidRDefault="00C04E36" w:rsidP="00DD251B">
      <w:pPr>
        <w:pStyle w:val="FootnoteText"/>
        <w:ind w:firstLine="567"/>
        <w:jc w:val="both"/>
        <w:rPr>
          <w:rFonts w:ascii="Book Antiqua" w:hAnsi="Book Antiqua"/>
        </w:rPr>
      </w:pPr>
      <w:r w:rsidRPr="00BF3105">
        <w:rPr>
          <w:rStyle w:val="FootnoteReference"/>
          <w:rFonts w:ascii="Book Antiqua" w:hAnsi="Book Antiqua"/>
        </w:rPr>
        <w:footnoteRef/>
      </w:r>
      <w:r w:rsidR="00530F04" w:rsidRPr="00BF3105">
        <w:rPr>
          <w:rFonts w:ascii="Book Antiqua" w:hAnsi="Book Antiqua"/>
        </w:rPr>
        <w:t xml:space="preserve">Soerjono Soekanto, </w:t>
      </w:r>
      <w:r w:rsidR="00530F04" w:rsidRPr="00BF3105">
        <w:rPr>
          <w:rFonts w:ascii="Book Antiqua" w:hAnsi="Book Antiqua"/>
          <w:i/>
        </w:rPr>
        <w:t>Pengantar Penelitian Hukum,</w:t>
      </w:r>
      <w:r w:rsidR="00530F04" w:rsidRPr="00BF3105">
        <w:rPr>
          <w:rFonts w:ascii="Book Antiqua" w:hAnsi="Book Antiqua"/>
          <w:iCs/>
        </w:rPr>
        <w:t xml:space="preserve"> Jakarta: </w:t>
      </w:r>
      <w:r w:rsidR="00530F04" w:rsidRPr="00BF3105">
        <w:rPr>
          <w:rFonts w:ascii="Book Antiqua" w:hAnsi="Book Antiqua"/>
        </w:rPr>
        <w:t>Universitas Indonesia Press, 1986, hlm. 52</w:t>
      </w:r>
    </w:p>
  </w:footnote>
  <w:footnote w:id="7">
    <w:p w14:paraId="1B0EF486" w14:textId="36D89506" w:rsidR="00BC6636" w:rsidRPr="00BC6636" w:rsidRDefault="00BC6636" w:rsidP="00DD251B">
      <w:pPr>
        <w:pStyle w:val="FootnoteText"/>
        <w:ind w:firstLine="567"/>
        <w:jc w:val="both"/>
        <w:rPr>
          <w:rFonts w:ascii="Book Antiqua" w:hAnsi="Book Antiqua"/>
        </w:rPr>
      </w:pPr>
      <w:r w:rsidRPr="00BC6636">
        <w:rPr>
          <w:rStyle w:val="FootnoteReference"/>
          <w:rFonts w:ascii="Book Antiqua" w:hAnsi="Book Antiqua"/>
        </w:rPr>
        <w:footnoteRef/>
      </w:r>
      <w:r w:rsidR="00530F04" w:rsidRPr="00BC6636">
        <w:rPr>
          <w:rFonts w:ascii="Book Antiqua" w:hAnsi="Book Antiqua"/>
        </w:rPr>
        <w:t>Pasal 2 ayat 5 UU No.37 Tahun 2004.</w:t>
      </w:r>
    </w:p>
  </w:footnote>
  <w:footnote w:id="8">
    <w:p w14:paraId="4C4D5822" w14:textId="0835B7A2" w:rsidR="00BC6636" w:rsidRPr="00BC6636" w:rsidRDefault="00BC6636" w:rsidP="00DD251B">
      <w:pPr>
        <w:pStyle w:val="FootnoteText"/>
        <w:ind w:firstLine="567"/>
        <w:jc w:val="both"/>
        <w:rPr>
          <w:rFonts w:ascii="Book Antiqua" w:hAnsi="Book Antiqua"/>
        </w:rPr>
      </w:pPr>
      <w:r w:rsidRPr="00BC6636">
        <w:rPr>
          <w:rStyle w:val="FootnoteReference"/>
          <w:rFonts w:ascii="Book Antiqua" w:hAnsi="Book Antiqua"/>
        </w:rPr>
        <w:footnoteRef/>
      </w:r>
      <w:r w:rsidR="00530F04" w:rsidRPr="00BC6636">
        <w:rPr>
          <w:rFonts w:ascii="Book Antiqua" w:hAnsi="Book Antiqua"/>
        </w:rPr>
        <w:t>Pasal 9 UU No. 19 Tahun 2003.</w:t>
      </w:r>
    </w:p>
  </w:footnote>
  <w:footnote w:id="9">
    <w:p w14:paraId="4E3AE2B2" w14:textId="33EEB66D" w:rsidR="00BC6636" w:rsidRPr="00BC6636" w:rsidRDefault="00BC6636" w:rsidP="00DD251B">
      <w:pPr>
        <w:pStyle w:val="FootnoteText"/>
        <w:ind w:firstLine="567"/>
        <w:jc w:val="both"/>
        <w:rPr>
          <w:rFonts w:ascii="Book Antiqua" w:hAnsi="Book Antiqua"/>
        </w:rPr>
      </w:pPr>
      <w:r w:rsidRPr="00BC6636">
        <w:rPr>
          <w:rStyle w:val="FootnoteReference"/>
          <w:rFonts w:ascii="Book Antiqua" w:hAnsi="Book Antiqua"/>
        </w:rPr>
        <w:footnoteRef/>
      </w:r>
      <w:r w:rsidR="00530F04" w:rsidRPr="00BC6636">
        <w:rPr>
          <w:rFonts w:ascii="Book Antiqua" w:hAnsi="Book Antiqua"/>
        </w:rPr>
        <w:t>Pasal 1 ayat (2) UU No. 19 Tahun 2003.</w:t>
      </w:r>
    </w:p>
  </w:footnote>
  <w:footnote w:id="10">
    <w:p w14:paraId="4417B868" w14:textId="012B7DC0" w:rsidR="00BC6636" w:rsidRDefault="00BC6636" w:rsidP="00DD251B">
      <w:pPr>
        <w:pStyle w:val="FootnoteText"/>
        <w:ind w:firstLine="567"/>
        <w:jc w:val="both"/>
      </w:pPr>
      <w:r w:rsidRPr="00BC6636">
        <w:rPr>
          <w:rStyle w:val="FootnoteReference"/>
          <w:rFonts w:ascii="Book Antiqua" w:hAnsi="Book Antiqua"/>
        </w:rPr>
        <w:footnoteRef/>
      </w:r>
      <w:r w:rsidR="00530F04" w:rsidRPr="00BC6636">
        <w:rPr>
          <w:rFonts w:ascii="Book Antiqua" w:hAnsi="Book Antiqua"/>
        </w:rPr>
        <w:t>Pasal 1 ayat (4) UU No. 19 Tahun 2003.</w:t>
      </w:r>
    </w:p>
  </w:footnote>
  <w:footnote w:id="11">
    <w:p w14:paraId="45CE8CE3" w14:textId="13A7D4FF" w:rsidR="00AE584B" w:rsidRPr="000B56E4" w:rsidRDefault="00AE584B" w:rsidP="00DD251B">
      <w:pPr>
        <w:pStyle w:val="FootnoteText"/>
        <w:ind w:firstLine="567"/>
      </w:pPr>
      <w:r w:rsidRPr="000B56E4">
        <w:rPr>
          <w:rStyle w:val="FootnoteReference"/>
        </w:rPr>
        <w:footnoteRef/>
      </w:r>
      <w:r w:rsidR="00530F04" w:rsidRPr="000B56E4">
        <w:t>Lihat penjelasan Pasal 2 ayat (5) UU No. 37 Tahun 2004</w:t>
      </w:r>
    </w:p>
  </w:footnote>
  <w:footnote w:id="12">
    <w:p w14:paraId="3C1050CA" w14:textId="7378ABF9" w:rsidR="00AE584B" w:rsidRPr="00AE584B" w:rsidRDefault="00AE584B" w:rsidP="00DD251B">
      <w:pPr>
        <w:pStyle w:val="FootnoteText"/>
        <w:ind w:firstLine="567"/>
        <w:jc w:val="both"/>
        <w:rPr>
          <w:rFonts w:ascii="Book Antiqua" w:hAnsi="Book Antiqua"/>
        </w:rPr>
      </w:pPr>
      <w:r w:rsidRPr="00AE584B">
        <w:rPr>
          <w:rStyle w:val="FootnoteReference"/>
          <w:rFonts w:ascii="Book Antiqua" w:hAnsi="Book Antiqua"/>
        </w:rPr>
        <w:footnoteRef/>
      </w:r>
      <w:r w:rsidR="00530F04" w:rsidRPr="00AE584B">
        <w:rPr>
          <w:rFonts w:ascii="Book Antiqua" w:hAnsi="Book Antiqua"/>
        </w:rPr>
        <w:t xml:space="preserve">Rahayu Hartini, </w:t>
      </w:r>
      <w:r w:rsidR="00530F04" w:rsidRPr="00AE584B">
        <w:rPr>
          <w:rFonts w:ascii="Book Antiqua" w:hAnsi="Book Antiqua"/>
          <w:i/>
          <w:iCs/>
        </w:rPr>
        <w:t>BUMN Persero, Konsep Keuangan Negara dan Hukum Kepailitan Indonesia</w:t>
      </w:r>
      <w:r w:rsidR="00530F04" w:rsidRPr="00AE584B">
        <w:rPr>
          <w:rFonts w:ascii="Book Antiqua" w:hAnsi="Book Antiqua"/>
        </w:rPr>
        <w:t>, Malang: Setara Press, 2017, hlm. 187</w:t>
      </w:r>
    </w:p>
  </w:footnote>
  <w:footnote w:id="13">
    <w:p w14:paraId="709D8872" w14:textId="258AD3E3" w:rsidR="00001FD4" w:rsidRPr="00CF4576" w:rsidRDefault="00001FD4" w:rsidP="00001FD4">
      <w:pPr>
        <w:pStyle w:val="FootnoteText"/>
        <w:ind w:firstLine="720"/>
      </w:pPr>
      <w:r w:rsidRPr="00CF4576">
        <w:rPr>
          <w:rStyle w:val="FootnoteReference"/>
        </w:rPr>
        <w:footnoteRef/>
      </w:r>
      <w:r w:rsidR="00530F04" w:rsidRPr="00CF4576">
        <w:t>Pasal 38, Pasal 39, Pasal 40 UU No. 19 Tahun 2003</w:t>
      </w:r>
    </w:p>
  </w:footnote>
  <w:footnote w:id="14">
    <w:p w14:paraId="27B45953" w14:textId="5B6E618D" w:rsidR="00413908" w:rsidRPr="008E5EE3" w:rsidRDefault="00413908" w:rsidP="00DD251B">
      <w:pPr>
        <w:pStyle w:val="FootnoteText"/>
        <w:ind w:firstLine="567"/>
      </w:pPr>
      <w:r w:rsidRPr="008E5EE3">
        <w:rPr>
          <w:rStyle w:val="FootnoteReference"/>
        </w:rPr>
        <w:footnoteRef/>
      </w:r>
      <w:r w:rsidR="00530F04" w:rsidRPr="008E5EE3">
        <w:t xml:space="preserve">Jono, </w:t>
      </w:r>
      <w:r w:rsidR="00530F04">
        <w:rPr>
          <w:i/>
          <w:iCs/>
        </w:rPr>
        <w:t>Op.Cit</w:t>
      </w:r>
      <w:r w:rsidR="00530F04">
        <w:t>,</w:t>
      </w:r>
      <w:r w:rsidR="00530F04">
        <w:rPr>
          <w:i/>
          <w:iCs/>
        </w:rPr>
        <w:t xml:space="preserve"> </w:t>
      </w:r>
      <w:r w:rsidR="00530F04" w:rsidRPr="008E5EE3">
        <w:t>h</w:t>
      </w:r>
      <w:r w:rsidR="00530F04">
        <w:t>lm</w:t>
      </w:r>
      <w:r w:rsidR="00530F04" w:rsidRPr="008E5EE3">
        <w:t>. 90</w:t>
      </w:r>
    </w:p>
  </w:footnote>
  <w:footnote w:id="15">
    <w:p w14:paraId="0F7653BE" w14:textId="5B5A24F2" w:rsidR="00117CC7" w:rsidRDefault="00117CC7" w:rsidP="00DD251B">
      <w:pPr>
        <w:pStyle w:val="FootnoteText"/>
        <w:ind w:firstLine="567"/>
      </w:pPr>
      <w:r w:rsidRPr="007254B2">
        <w:rPr>
          <w:rStyle w:val="FootnoteReference"/>
        </w:rPr>
        <w:footnoteRef/>
      </w:r>
      <w:r w:rsidR="00530F04" w:rsidRPr="007254B2">
        <w:t xml:space="preserve">Pasal 6 ayat (1) UU No. 37 </w:t>
      </w:r>
      <w:r w:rsidR="00530F04">
        <w:t>T</w:t>
      </w:r>
      <w:r w:rsidR="00530F04" w:rsidRPr="007254B2">
        <w:t>ahun 2004</w:t>
      </w:r>
      <w:r w:rsidR="00530F04">
        <w:t>.</w:t>
      </w:r>
    </w:p>
  </w:footnote>
  <w:footnote w:id="16">
    <w:p w14:paraId="49774F87" w14:textId="02F29D30" w:rsidR="00117CC7" w:rsidRPr="005F63C3" w:rsidRDefault="00117CC7" w:rsidP="00DD251B">
      <w:pPr>
        <w:pStyle w:val="FootnoteText"/>
        <w:ind w:firstLine="567"/>
      </w:pPr>
      <w:r w:rsidRPr="005F63C3">
        <w:rPr>
          <w:rStyle w:val="FootnoteReference"/>
        </w:rPr>
        <w:footnoteRef/>
      </w:r>
      <w:r w:rsidR="00530F04" w:rsidRPr="005F63C3">
        <w:t>Pasal 6 ayat (2) UU No. 37 Tahun 2004</w:t>
      </w:r>
      <w:r w:rsidR="00530F04">
        <w:t>.</w:t>
      </w:r>
    </w:p>
  </w:footnote>
  <w:footnote w:id="17">
    <w:p w14:paraId="0132CE08" w14:textId="193C72C4" w:rsidR="00117CC7" w:rsidRPr="005F63C3" w:rsidRDefault="00117CC7" w:rsidP="00DD251B">
      <w:pPr>
        <w:pStyle w:val="FootnoteText"/>
        <w:ind w:firstLine="567"/>
      </w:pPr>
      <w:r w:rsidRPr="005F63C3">
        <w:rPr>
          <w:rStyle w:val="FootnoteReference"/>
        </w:rPr>
        <w:footnoteRef/>
      </w:r>
      <w:r w:rsidR="00530F04" w:rsidRPr="005F63C3">
        <w:t>Pasal 6 ayat (4) UU No. 37 Tahun 2004.</w:t>
      </w:r>
    </w:p>
  </w:footnote>
  <w:footnote w:id="18">
    <w:p w14:paraId="390B6141" w14:textId="4AEE0FD7" w:rsidR="00117CC7" w:rsidRPr="005F63C3" w:rsidRDefault="00117CC7" w:rsidP="00DD251B">
      <w:pPr>
        <w:pStyle w:val="FootnoteText"/>
        <w:ind w:firstLine="567"/>
      </w:pPr>
      <w:r w:rsidRPr="005F63C3">
        <w:rPr>
          <w:rStyle w:val="FootnoteReference"/>
        </w:rPr>
        <w:footnoteRef/>
      </w:r>
      <w:r w:rsidR="00530F04" w:rsidRPr="005F63C3">
        <w:t>Pasal 6 ayat (5) UU No. 37 Tahun 2004.</w:t>
      </w:r>
    </w:p>
  </w:footnote>
  <w:footnote w:id="19">
    <w:p w14:paraId="32FD2C19" w14:textId="6A51389B" w:rsidR="00753A27" w:rsidRPr="007254B2" w:rsidRDefault="00753A27" w:rsidP="00DD251B">
      <w:pPr>
        <w:pStyle w:val="FootnoteText"/>
        <w:ind w:firstLine="567"/>
      </w:pPr>
      <w:r w:rsidRPr="007254B2">
        <w:rPr>
          <w:rStyle w:val="FootnoteReference"/>
        </w:rPr>
        <w:footnoteRef/>
      </w:r>
      <w:r w:rsidR="00530F04" w:rsidRPr="007254B2">
        <w:t>Pasal 8 ayat (2) UU No. 37 Tahun 2004</w:t>
      </w:r>
      <w:r w:rsidR="00530F04">
        <w:t>.</w:t>
      </w:r>
    </w:p>
  </w:footnote>
  <w:footnote w:id="20">
    <w:p w14:paraId="35918F3A" w14:textId="6A719703" w:rsidR="00753A27" w:rsidRDefault="00753A27" w:rsidP="00DD251B">
      <w:pPr>
        <w:pStyle w:val="FootnoteText"/>
        <w:ind w:firstLine="567"/>
      </w:pPr>
      <w:r w:rsidRPr="007254B2">
        <w:rPr>
          <w:rStyle w:val="FootnoteReference"/>
        </w:rPr>
        <w:footnoteRef/>
      </w:r>
      <w:r w:rsidR="00530F04" w:rsidRPr="007254B2">
        <w:t>Pasal 8 ayat (1) UU No. 37 Tahun 2004</w:t>
      </w:r>
      <w:r w:rsidR="00530F04">
        <w:t>.</w:t>
      </w:r>
    </w:p>
  </w:footnote>
  <w:footnote w:id="21">
    <w:p w14:paraId="6FEC18BE" w14:textId="7F33DCAF" w:rsidR="00753A27" w:rsidRPr="007254B2" w:rsidRDefault="00753A27" w:rsidP="00DD251B">
      <w:pPr>
        <w:pStyle w:val="FootnoteText"/>
        <w:ind w:firstLine="567"/>
      </w:pPr>
      <w:r w:rsidRPr="007254B2">
        <w:rPr>
          <w:rStyle w:val="FootnoteReference"/>
        </w:rPr>
        <w:footnoteRef/>
      </w:r>
      <w:r w:rsidR="00530F04" w:rsidRPr="007254B2">
        <w:t>Pasal 6 ayat (6) UU No. 37 Tahun 2004</w:t>
      </w:r>
      <w:r w:rsidR="00530F04">
        <w:t>.</w:t>
      </w:r>
    </w:p>
  </w:footnote>
  <w:footnote w:id="22">
    <w:p w14:paraId="2D5D2705" w14:textId="6FBA8FD5" w:rsidR="00753A27" w:rsidRPr="008C4474" w:rsidRDefault="00753A27" w:rsidP="00DD251B">
      <w:pPr>
        <w:pStyle w:val="FootnoteText"/>
        <w:ind w:firstLine="567"/>
      </w:pPr>
      <w:r w:rsidRPr="008C4474">
        <w:rPr>
          <w:rStyle w:val="FootnoteReference"/>
        </w:rPr>
        <w:footnoteRef/>
      </w:r>
      <w:r w:rsidR="00530F04" w:rsidRPr="008C4474">
        <w:t>Pasal 8 ayat (4) UU No. 37 Tahun 2004.</w:t>
      </w:r>
    </w:p>
  </w:footnote>
  <w:footnote w:id="23">
    <w:p w14:paraId="69AEC328" w14:textId="6A9F4FE2" w:rsidR="00753A27" w:rsidRPr="008C4474" w:rsidRDefault="00753A27" w:rsidP="00DD251B">
      <w:pPr>
        <w:pStyle w:val="FootnoteText"/>
        <w:ind w:firstLine="567"/>
      </w:pPr>
      <w:r w:rsidRPr="008C4474">
        <w:rPr>
          <w:rStyle w:val="FootnoteReference"/>
        </w:rPr>
        <w:footnoteRef/>
      </w:r>
      <w:r w:rsidR="00530F04" w:rsidRPr="008C4474">
        <w:t>Pasal 8 ayat (5) UU No. 37 Tahun 2004.</w:t>
      </w:r>
    </w:p>
  </w:footnote>
  <w:footnote w:id="24">
    <w:p w14:paraId="7081B549" w14:textId="57B69BA9" w:rsidR="00753A27" w:rsidRPr="007254B2" w:rsidRDefault="00753A27" w:rsidP="00DD251B">
      <w:pPr>
        <w:pStyle w:val="FootnoteText"/>
        <w:ind w:firstLine="567"/>
        <w:jc w:val="both"/>
      </w:pPr>
      <w:r w:rsidRPr="007254B2">
        <w:rPr>
          <w:rStyle w:val="FootnoteReference"/>
        </w:rPr>
        <w:footnoteRef/>
      </w:r>
      <w:r w:rsidR="0019413C" w:rsidRPr="007254B2">
        <w:t>Pasal 8 ayat (6) UU No. 37 Tahun 2004</w:t>
      </w:r>
      <w:r w:rsidR="0019413C">
        <w:t>.</w:t>
      </w:r>
    </w:p>
  </w:footnote>
  <w:footnote w:id="25">
    <w:p w14:paraId="3B14B6F8" w14:textId="6628FFD7" w:rsidR="00753A27" w:rsidRDefault="00753A27" w:rsidP="00DD251B">
      <w:pPr>
        <w:pStyle w:val="FootnoteText"/>
        <w:ind w:firstLine="567"/>
        <w:jc w:val="both"/>
      </w:pPr>
      <w:r w:rsidRPr="007254B2">
        <w:rPr>
          <w:rStyle w:val="FootnoteReference"/>
        </w:rPr>
        <w:footnoteRef/>
      </w:r>
      <w:r w:rsidR="0019413C">
        <w:t>Pasal 8 ayat (7</w:t>
      </w:r>
      <w:r w:rsidR="0019413C" w:rsidRPr="007254B2">
        <w:t>) UU No. 37 Tahun 2004</w:t>
      </w:r>
      <w:r w:rsidR="0019413C">
        <w:t>.</w:t>
      </w:r>
    </w:p>
  </w:footnote>
  <w:footnote w:id="26">
    <w:p w14:paraId="03A0EBF9" w14:textId="65F9A226" w:rsidR="00753A27" w:rsidRPr="00C4285E" w:rsidRDefault="00753A27" w:rsidP="00DD251B">
      <w:pPr>
        <w:pStyle w:val="FootnoteText"/>
        <w:ind w:firstLine="567"/>
        <w:jc w:val="both"/>
      </w:pPr>
      <w:r w:rsidRPr="00C4285E">
        <w:rPr>
          <w:rStyle w:val="FootnoteReference"/>
        </w:rPr>
        <w:footnoteRef/>
      </w:r>
      <w:r w:rsidR="0019413C" w:rsidRPr="00C4285E">
        <w:t>Pasal 68 Peraturan Menteri Keua</w:t>
      </w:r>
      <w:r w:rsidR="0019413C">
        <w:t>n</w:t>
      </w:r>
      <w:r w:rsidR="0019413C" w:rsidRPr="00C4285E">
        <w:t>gan Republik Indonesia Nomor 217/PMK.01/2018 Tentang Organisasi dan Tata Kerja Kementerian Keuangan.</w:t>
      </w:r>
      <w:r w:rsidRPr="00C4285E">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33" w:type="pct"/>
      <w:tblCellMar>
        <w:top w:w="72" w:type="dxa"/>
        <w:left w:w="115" w:type="dxa"/>
        <w:bottom w:w="72" w:type="dxa"/>
        <w:right w:w="115" w:type="dxa"/>
      </w:tblCellMar>
      <w:tblLook w:val="04A0" w:firstRow="1" w:lastRow="0" w:firstColumn="1" w:lastColumn="0" w:noHBand="0" w:noVBand="1"/>
    </w:tblPr>
    <w:tblGrid>
      <w:gridCol w:w="2526"/>
      <w:gridCol w:w="7211"/>
    </w:tblGrid>
    <w:tr w:rsidR="00CA36DF" w:rsidRPr="00B20305" w14:paraId="4F773589" w14:textId="77777777" w:rsidTr="00D161DE">
      <w:tc>
        <w:tcPr>
          <w:tcW w:w="1297" w:type="pct"/>
          <w:tcBorders>
            <w:bottom w:val="single" w:sz="4" w:space="0" w:color="943634"/>
          </w:tcBorders>
          <w:shd w:val="clear" w:color="auto" w:fill="943634"/>
          <w:vAlign w:val="bottom"/>
        </w:tcPr>
        <w:p w14:paraId="22F38A28" w14:textId="77777777" w:rsidR="00CA36DF" w:rsidRPr="00B20305" w:rsidRDefault="00CA36DF" w:rsidP="00CA36DF">
          <w:pPr>
            <w:pStyle w:val="Header"/>
            <w:jc w:val="center"/>
            <w:rPr>
              <w:rFonts w:ascii="Garamond" w:hAnsi="Garamond"/>
              <w:b/>
              <w:bCs/>
              <w:sz w:val="24"/>
              <w:szCs w:val="24"/>
              <w:lang w:val="id-ID"/>
            </w:rPr>
          </w:pPr>
          <w:r>
            <w:rPr>
              <w:rFonts w:ascii="Garamond" w:hAnsi="Garamond"/>
              <w:b/>
              <w:bCs/>
              <w:sz w:val="24"/>
              <w:szCs w:val="24"/>
              <w:lang w:val="id-ID"/>
            </w:rPr>
            <w:t>Justisia Pen:</w:t>
          </w:r>
        </w:p>
        <w:p w14:paraId="7407D4AE" w14:textId="77777777" w:rsidR="00CA36DF" w:rsidRPr="00B20305" w:rsidRDefault="00CA36DF" w:rsidP="00CA36DF">
          <w:pPr>
            <w:pStyle w:val="Header"/>
            <w:ind w:left="-142"/>
            <w:jc w:val="center"/>
            <w:rPr>
              <w:rFonts w:ascii="Garamond" w:hAnsi="Garamond"/>
              <w:color w:val="FFFFFF"/>
            </w:rPr>
          </w:pPr>
          <w:r w:rsidRPr="00B20305">
            <w:rPr>
              <w:rFonts w:ascii="Garamond" w:hAnsi="Garamond"/>
              <w:b/>
              <w:bCs/>
              <w:sz w:val="16"/>
              <w:szCs w:val="16"/>
              <w:lang w:val="id-ID"/>
            </w:rPr>
            <w:t>Vol...., No...., Month .. Year</w:t>
          </w:r>
        </w:p>
      </w:tc>
      <w:tc>
        <w:tcPr>
          <w:tcW w:w="3703" w:type="pct"/>
          <w:tcBorders>
            <w:bottom w:val="single" w:sz="4" w:space="0" w:color="auto"/>
          </w:tcBorders>
          <w:vAlign w:val="bottom"/>
        </w:tcPr>
        <w:p w14:paraId="6B77013B" w14:textId="6738BBF9" w:rsidR="00CA36DF" w:rsidRPr="00B20305" w:rsidRDefault="00CA36DF" w:rsidP="00CA36DF">
          <w:pPr>
            <w:pStyle w:val="Header"/>
            <w:jc w:val="right"/>
            <w:rPr>
              <w:rFonts w:ascii="Garamond" w:hAnsi="Garamond"/>
              <w:color w:val="76923C"/>
              <w:sz w:val="24"/>
            </w:rPr>
          </w:pPr>
          <w:r w:rsidRPr="00B20305">
            <w:rPr>
              <w:rFonts w:ascii="Garamond" w:hAnsi="Garamond"/>
              <w:b/>
              <w:bCs/>
              <w:color w:val="76923C"/>
            </w:rPr>
            <w:t>[</w:t>
          </w:r>
          <w:r w:rsidR="00333204" w:rsidRPr="002B1F0A">
            <w:rPr>
              <w:rFonts w:ascii="Garamond" w:hAnsi="Garamond"/>
              <w:b/>
              <w:bCs/>
              <w:lang w:val="id-ID"/>
            </w:rPr>
            <w:t>PEN</w:t>
          </w:r>
          <w:r w:rsidR="00333204">
            <w:rPr>
              <w:rFonts w:ascii="Garamond" w:hAnsi="Garamond"/>
              <w:b/>
              <w:bCs/>
              <w:lang w:val="en-US"/>
            </w:rPr>
            <w:t>A</w:t>
          </w:r>
          <w:r w:rsidR="00333204" w:rsidRPr="002B1F0A">
            <w:rPr>
              <w:rFonts w:ascii="Garamond" w:hAnsi="Garamond"/>
              <w:b/>
              <w:bCs/>
              <w:lang w:val="id-ID"/>
            </w:rPr>
            <w:t xml:space="preserve"> JUST</w:t>
          </w:r>
          <w:r w:rsidR="00333204">
            <w:rPr>
              <w:rFonts w:ascii="Garamond" w:hAnsi="Garamond"/>
              <w:b/>
              <w:bCs/>
              <w:lang w:val="en-US"/>
            </w:rPr>
            <w:t>I</w:t>
          </w:r>
          <w:r w:rsidR="00333204" w:rsidRPr="002B1F0A">
            <w:rPr>
              <w:rFonts w:ascii="Garamond" w:hAnsi="Garamond"/>
              <w:b/>
              <w:bCs/>
              <w:lang w:val="id-ID"/>
            </w:rPr>
            <w:t xml:space="preserve">SIA: </w:t>
          </w:r>
          <w:r w:rsidR="00333204">
            <w:rPr>
              <w:rFonts w:ascii="Garamond" w:hAnsi="Garamond"/>
              <w:b/>
              <w:bCs/>
              <w:lang w:val="en-US"/>
            </w:rPr>
            <w:t>MEDIA KOMUNIKASI DAN KAJIAN HUKUM</w:t>
          </w:r>
          <w:r w:rsidRPr="002B1F0A">
            <w:rPr>
              <w:rFonts w:ascii="Garamond" w:hAnsi="Garamond"/>
              <w:b/>
              <w:bCs/>
              <w:lang w:val="id-ID"/>
            </w:rPr>
            <w:t xml:space="preserve"> </w:t>
          </w:r>
          <w:r w:rsidRPr="00B20305">
            <w:rPr>
              <w:rFonts w:ascii="Garamond" w:hAnsi="Garamond"/>
              <w:b/>
              <w:bCs/>
              <w:color w:val="76923C"/>
            </w:rPr>
            <w:t>]</w:t>
          </w:r>
        </w:p>
      </w:tc>
    </w:tr>
  </w:tbl>
  <w:p w14:paraId="2B4DA169" w14:textId="77777777" w:rsidR="00CA36DF" w:rsidRPr="00B20305" w:rsidRDefault="00CA36DF" w:rsidP="00CA36DF">
    <w:pPr>
      <w:pStyle w:val="Header"/>
      <w:rPr>
        <w:rFonts w:ascii="Garamond" w:hAnsi="Garamond"/>
      </w:rPr>
    </w:pPr>
  </w:p>
  <w:p w14:paraId="5C360E69" w14:textId="77777777" w:rsidR="00CA36DF" w:rsidRDefault="00CA36DF" w:rsidP="00CA36DF">
    <w:pPr>
      <w:pStyle w:val="Header"/>
    </w:pPr>
  </w:p>
  <w:p w14:paraId="59D34F37" w14:textId="51A0DAB7" w:rsidR="000E199B" w:rsidRPr="00CA36DF" w:rsidRDefault="000E199B" w:rsidP="00CA36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33" w:type="pct"/>
      <w:tblCellMar>
        <w:top w:w="72" w:type="dxa"/>
        <w:left w:w="115" w:type="dxa"/>
        <w:bottom w:w="72" w:type="dxa"/>
        <w:right w:w="115" w:type="dxa"/>
      </w:tblCellMar>
      <w:tblLook w:val="04A0" w:firstRow="1" w:lastRow="0" w:firstColumn="1" w:lastColumn="0" w:noHBand="0" w:noVBand="1"/>
    </w:tblPr>
    <w:tblGrid>
      <w:gridCol w:w="2526"/>
      <w:gridCol w:w="7211"/>
    </w:tblGrid>
    <w:tr w:rsidR="00CA36DF" w:rsidRPr="00B20305" w14:paraId="1349E100" w14:textId="77777777" w:rsidTr="00D161DE">
      <w:tc>
        <w:tcPr>
          <w:tcW w:w="1297" w:type="pct"/>
          <w:tcBorders>
            <w:bottom w:val="single" w:sz="4" w:space="0" w:color="943634"/>
          </w:tcBorders>
          <w:shd w:val="clear" w:color="auto" w:fill="943634"/>
          <w:vAlign w:val="bottom"/>
        </w:tcPr>
        <w:p w14:paraId="20D3C71C" w14:textId="77777777" w:rsidR="00CA36DF" w:rsidRPr="00B20305" w:rsidRDefault="00CA36DF" w:rsidP="00CA36DF">
          <w:pPr>
            <w:pStyle w:val="Header"/>
            <w:jc w:val="center"/>
            <w:rPr>
              <w:rFonts w:ascii="Garamond" w:hAnsi="Garamond"/>
              <w:b/>
              <w:bCs/>
              <w:sz w:val="24"/>
              <w:szCs w:val="24"/>
              <w:lang w:val="id-ID"/>
            </w:rPr>
          </w:pPr>
          <w:r>
            <w:rPr>
              <w:rFonts w:ascii="Garamond" w:hAnsi="Garamond"/>
              <w:b/>
              <w:bCs/>
              <w:sz w:val="24"/>
              <w:szCs w:val="24"/>
              <w:lang w:val="id-ID"/>
            </w:rPr>
            <w:t>Justisia Pen:</w:t>
          </w:r>
        </w:p>
        <w:p w14:paraId="778A4566" w14:textId="77777777" w:rsidR="00CA36DF" w:rsidRPr="00B20305" w:rsidRDefault="00CA36DF" w:rsidP="00CA36DF">
          <w:pPr>
            <w:pStyle w:val="Header"/>
            <w:ind w:left="-142"/>
            <w:jc w:val="center"/>
            <w:rPr>
              <w:rFonts w:ascii="Garamond" w:hAnsi="Garamond"/>
              <w:color w:val="FFFFFF"/>
            </w:rPr>
          </w:pPr>
          <w:r w:rsidRPr="00B20305">
            <w:rPr>
              <w:rFonts w:ascii="Garamond" w:hAnsi="Garamond"/>
              <w:b/>
              <w:bCs/>
              <w:sz w:val="16"/>
              <w:szCs w:val="16"/>
              <w:lang w:val="id-ID"/>
            </w:rPr>
            <w:t>Vol...., No...., Month .. Year</w:t>
          </w:r>
        </w:p>
      </w:tc>
      <w:tc>
        <w:tcPr>
          <w:tcW w:w="3703" w:type="pct"/>
          <w:tcBorders>
            <w:bottom w:val="single" w:sz="4" w:space="0" w:color="auto"/>
          </w:tcBorders>
          <w:vAlign w:val="bottom"/>
        </w:tcPr>
        <w:p w14:paraId="0E955E28" w14:textId="40766F71" w:rsidR="00CA36DF" w:rsidRPr="00B20305" w:rsidRDefault="00CA36DF" w:rsidP="00333204">
          <w:pPr>
            <w:pStyle w:val="Header"/>
            <w:jc w:val="right"/>
            <w:rPr>
              <w:rFonts w:ascii="Garamond" w:hAnsi="Garamond"/>
              <w:color w:val="76923C"/>
              <w:sz w:val="24"/>
            </w:rPr>
          </w:pPr>
          <w:r w:rsidRPr="00B20305">
            <w:rPr>
              <w:rFonts w:ascii="Garamond" w:hAnsi="Garamond"/>
              <w:b/>
              <w:bCs/>
              <w:color w:val="76923C"/>
            </w:rPr>
            <w:t xml:space="preserve">[ </w:t>
          </w:r>
          <w:r w:rsidRPr="002B1F0A">
            <w:rPr>
              <w:rFonts w:ascii="Garamond" w:hAnsi="Garamond"/>
              <w:b/>
              <w:bCs/>
              <w:lang w:val="id-ID"/>
            </w:rPr>
            <w:t>PEN</w:t>
          </w:r>
          <w:r w:rsidR="00333204">
            <w:rPr>
              <w:rFonts w:ascii="Garamond" w:hAnsi="Garamond"/>
              <w:b/>
              <w:bCs/>
              <w:lang w:val="en-US"/>
            </w:rPr>
            <w:t>A</w:t>
          </w:r>
          <w:r w:rsidRPr="002B1F0A">
            <w:rPr>
              <w:rFonts w:ascii="Garamond" w:hAnsi="Garamond"/>
              <w:b/>
              <w:bCs/>
              <w:lang w:val="id-ID"/>
            </w:rPr>
            <w:t xml:space="preserve"> JUST</w:t>
          </w:r>
          <w:r w:rsidR="00333204">
            <w:rPr>
              <w:rFonts w:ascii="Garamond" w:hAnsi="Garamond"/>
              <w:b/>
              <w:bCs/>
              <w:lang w:val="en-US"/>
            </w:rPr>
            <w:t>I</w:t>
          </w:r>
          <w:r w:rsidRPr="002B1F0A">
            <w:rPr>
              <w:rFonts w:ascii="Garamond" w:hAnsi="Garamond"/>
              <w:b/>
              <w:bCs/>
              <w:lang w:val="id-ID"/>
            </w:rPr>
            <w:t xml:space="preserve">SIA: </w:t>
          </w:r>
          <w:r w:rsidR="00333204">
            <w:rPr>
              <w:rFonts w:ascii="Garamond" w:hAnsi="Garamond"/>
              <w:b/>
              <w:bCs/>
              <w:lang w:val="en-US"/>
            </w:rPr>
            <w:t>MEDIA KOMUNIKASI DAN KAJIAN HUKUM</w:t>
          </w:r>
          <w:r w:rsidRPr="002B1F0A">
            <w:rPr>
              <w:rFonts w:ascii="Garamond" w:hAnsi="Garamond"/>
              <w:b/>
              <w:bCs/>
              <w:lang w:val="id-ID"/>
            </w:rPr>
            <w:t xml:space="preserve"> </w:t>
          </w:r>
          <w:r w:rsidRPr="00B20305">
            <w:rPr>
              <w:rFonts w:ascii="Garamond" w:hAnsi="Garamond"/>
              <w:b/>
              <w:bCs/>
              <w:color w:val="76923C"/>
            </w:rPr>
            <w:t>]</w:t>
          </w:r>
        </w:p>
      </w:tc>
    </w:tr>
  </w:tbl>
  <w:p w14:paraId="5E98D44E" w14:textId="77777777" w:rsidR="000E199B" w:rsidRPr="00CA36DF" w:rsidRDefault="000E199B" w:rsidP="00CA36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33" w:type="pct"/>
      <w:tblCellMar>
        <w:top w:w="72" w:type="dxa"/>
        <w:left w:w="115" w:type="dxa"/>
        <w:bottom w:w="72" w:type="dxa"/>
        <w:right w:w="115" w:type="dxa"/>
      </w:tblCellMar>
      <w:tblLook w:val="04A0" w:firstRow="1" w:lastRow="0" w:firstColumn="1" w:lastColumn="0" w:noHBand="0" w:noVBand="1"/>
    </w:tblPr>
    <w:tblGrid>
      <w:gridCol w:w="2526"/>
      <w:gridCol w:w="7211"/>
    </w:tblGrid>
    <w:tr w:rsidR="002B1F0A" w:rsidRPr="00B20305" w14:paraId="174C8D7D" w14:textId="77777777" w:rsidTr="00D161DE">
      <w:tc>
        <w:tcPr>
          <w:tcW w:w="1297" w:type="pct"/>
          <w:tcBorders>
            <w:bottom w:val="single" w:sz="4" w:space="0" w:color="943634"/>
          </w:tcBorders>
          <w:shd w:val="clear" w:color="auto" w:fill="943634"/>
          <w:vAlign w:val="bottom"/>
        </w:tcPr>
        <w:p w14:paraId="3DD58D6A" w14:textId="6073D725" w:rsidR="002B1F0A" w:rsidRPr="00B20305" w:rsidRDefault="002B1F0A" w:rsidP="002B1F0A">
          <w:pPr>
            <w:pStyle w:val="Header"/>
            <w:jc w:val="center"/>
            <w:rPr>
              <w:rFonts w:ascii="Garamond" w:hAnsi="Garamond"/>
              <w:b/>
              <w:bCs/>
              <w:sz w:val="24"/>
              <w:szCs w:val="24"/>
              <w:lang w:val="id-ID"/>
            </w:rPr>
          </w:pPr>
          <w:r>
            <w:rPr>
              <w:rFonts w:ascii="Garamond" w:hAnsi="Garamond"/>
              <w:b/>
              <w:bCs/>
              <w:sz w:val="24"/>
              <w:szCs w:val="24"/>
              <w:lang w:val="id-ID"/>
            </w:rPr>
            <w:t>Justisia Pen:</w:t>
          </w:r>
        </w:p>
        <w:p w14:paraId="449EF379" w14:textId="2079298E" w:rsidR="002B1F0A" w:rsidRPr="00B20305" w:rsidRDefault="002B1F0A" w:rsidP="002B1F0A">
          <w:pPr>
            <w:pStyle w:val="Header"/>
            <w:ind w:left="-142"/>
            <w:jc w:val="center"/>
            <w:rPr>
              <w:rFonts w:ascii="Garamond" w:hAnsi="Garamond"/>
              <w:color w:val="FFFFFF"/>
            </w:rPr>
          </w:pPr>
          <w:r w:rsidRPr="00B20305">
            <w:rPr>
              <w:rFonts w:ascii="Garamond" w:hAnsi="Garamond"/>
              <w:b/>
              <w:bCs/>
              <w:sz w:val="16"/>
              <w:szCs w:val="16"/>
              <w:lang w:val="id-ID"/>
            </w:rPr>
            <w:t>Vol...., No...., Month .. Year</w:t>
          </w:r>
        </w:p>
      </w:tc>
      <w:tc>
        <w:tcPr>
          <w:tcW w:w="3703" w:type="pct"/>
          <w:tcBorders>
            <w:bottom w:val="single" w:sz="4" w:space="0" w:color="auto"/>
          </w:tcBorders>
          <w:vAlign w:val="bottom"/>
        </w:tcPr>
        <w:p w14:paraId="20EF4C3D" w14:textId="6631ECC3" w:rsidR="002B1F0A" w:rsidRPr="00B20305" w:rsidRDefault="002B1F0A" w:rsidP="002B1F0A">
          <w:pPr>
            <w:pStyle w:val="Header"/>
            <w:jc w:val="right"/>
            <w:rPr>
              <w:rFonts w:ascii="Garamond" w:hAnsi="Garamond"/>
              <w:color w:val="76923C"/>
              <w:sz w:val="24"/>
            </w:rPr>
          </w:pPr>
          <w:r w:rsidRPr="00B20305">
            <w:rPr>
              <w:rFonts w:ascii="Garamond" w:hAnsi="Garamond"/>
              <w:b/>
              <w:bCs/>
              <w:color w:val="76923C"/>
            </w:rPr>
            <w:t>[</w:t>
          </w:r>
          <w:r w:rsidR="00333204" w:rsidRPr="002B1F0A">
            <w:rPr>
              <w:rFonts w:ascii="Garamond" w:hAnsi="Garamond"/>
              <w:b/>
              <w:bCs/>
              <w:lang w:val="id-ID"/>
            </w:rPr>
            <w:t>PEN</w:t>
          </w:r>
          <w:r w:rsidR="00333204">
            <w:rPr>
              <w:rFonts w:ascii="Garamond" w:hAnsi="Garamond"/>
              <w:b/>
              <w:bCs/>
              <w:lang w:val="en-US"/>
            </w:rPr>
            <w:t>A</w:t>
          </w:r>
          <w:r w:rsidR="00333204" w:rsidRPr="002B1F0A">
            <w:rPr>
              <w:rFonts w:ascii="Garamond" w:hAnsi="Garamond"/>
              <w:b/>
              <w:bCs/>
              <w:lang w:val="id-ID"/>
            </w:rPr>
            <w:t xml:space="preserve"> JUST</w:t>
          </w:r>
          <w:r w:rsidR="00333204">
            <w:rPr>
              <w:rFonts w:ascii="Garamond" w:hAnsi="Garamond"/>
              <w:b/>
              <w:bCs/>
              <w:lang w:val="en-US"/>
            </w:rPr>
            <w:t>I</w:t>
          </w:r>
          <w:r w:rsidR="00333204" w:rsidRPr="002B1F0A">
            <w:rPr>
              <w:rFonts w:ascii="Garamond" w:hAnsi="Garamond"/>
              <w:b/>
              <w:bCs/>
              <w:lang w:val="id-ID"/>
            </w:rPr>
            <w:t xml:space="preserve">SIA: </w:t>
          </w:r>
          <w:r w:rsidR="00333204">
            <w:rPr>
              <w:rFonts w:ascii="Garamond" w:hAnsi="Garamond"/>
              <w:b/>
              <w:bCs/>
              <w:lang w:val="en-US"/>
            </w:rPr>
            <w:t>MEDIA KOMUNIKASI DAN KAJIAN HUKUM</w:t>
          </w:r>
          <w:r w:rsidRPr="002B1F0A">
            <w:rPr>
              <w:rFonts w:ascii="Garamond" w:hAnsi="Garamond"/>
              <w:b/>
              <w:bCs/>
              <w:lang w:val="id-ID"/>
            </w:rPr>
            <w:t xml:space="preserve"> </w:t>
          </w:r>
          <w:r w:rsidRPr="00B20305">
            <w:rPr>
              <w:rFonts w:ascii="Garamond" w:hAnsi="Garamond"/>
              <w:b/>
              <w:bCs/>
              <w:color w:val="76923C"/>
            </w:rPr>
            <w:t>]</w:t>
          </w:r>
        </w:p>
      </w:tc>
    </w:tr>
  </w:tbl>
  <w:p w14:paraId="6EDCB944" w14:textId="77777777" w:rsidR="002B1F0A" w:rsidRPr="00B20305" w:rsidRDefault="002B1F0A" w:rsidP="002B1F0A">
    <w:pPr>
      <w:pStyle w:val="Header"/>
      <w:rPr>
        <w:rFonts w:ascii="Garamond" w:hAnsi="Garamond"/>
      </w:rPr>
    </w:pPr>
  </w:p>
  <w:p w14:paraId="140FD11A" w14:textId="77777777" w:rsidR="002B1F0A" w:rsidRDefault="002B1F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97C5A"/>
    <w:multiLevelType w:val="multilevel"/>
    <w:tmpl w:val="C9FE91F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0909498D"/>
    <w:multiLevelType w:val="hybridMultilevel"/>
    <w:tmpl w:val="F9CA523C"/>
    <w:lvl w:ilvl="0" w:tplc="271A95C6">
      <w:start w:val="1"/>
      <w:numFmt w:val="upperRoman"/>
      <w:lvlText w:val="%1."/>
      <w:lvlJc w:val="right"/>
      <w:pPr>
        <w:ind w:left="643" w:hanging="360"/>
      </w:pPr>
      <w:rPr>
        <w:sz w:val="24"/>
      </w:rPr>
    </w:lvl>
    <w:lvl w:ilvl="1" w:tplc="04210019" w:tentative="1">
      <w:start w:val="1"/>
      <w:numFmt w:val="lowerLetter"/>
      <w:lvlText w:val="%2."/>
      <w:lvlJc w:val="left"/>
      <w:pPr>
        <w:ind w:left="1363" w:hanging="360"/>
      </w:pPr>
    </w:lvl>
    <w:lvl w:ilvl="2" w:tplc="0421001B" w:tentative="1">
      <w:start w:val="1"/>
      <w:numFmt w:val="lowerRoman"/>
      <w:lvlText w:val="%3."/>
      <w:lvlJc w:val="right"/>
      <w:pPr>
        <w:ind w:left="2083" w:hanging="180"/>
      </w:pPr>
    </w:lvl>
    <w:lvl w:ilvl="3" w:tplc="0421000F" w:tentative="1">
      <w:start w:val="1"/>
      <w:numFmt w:val="decimal"/>
      <w:lvlText w:val="%4."/>
      <w:lvlJc w:val="left"/>
      <w:pPr>
        <w:ind w:left="2803" w:hanging="360"/>
      </w:pPr>
    </w:lvl>
    <w:lvl w:ilvl="4" w:tplc="04210019" w:tentative="1">
      <w:start w:val="1"/>
      <w:numFmt w:val="lowerLetter"/>
      <w:lvlText w:val="%5."/>
      <w:lvlJc w:val="left"/>
      <w:pPr>
        <w:ind w:left="3523" w:hanging="360"/>
      </w:pPr>
    </w:lvl>
    <w:lvl w:ilvl="5" w:tplc="0421001B" w:tentative="1">
      <w:start w:val="1"/>
      <w:numFmt w:val="lowerRoman"/>
      <w:lvlText w:val="%6."/>
      <w:lvlJc w:val="right"/>
      <w:pPr>
        <w:ind w:left="4243" w:hanging="180"/>
      </w:pPr>
    </w:lvl>
    <w:lvl w:ilvl="6" w:tplc="0421000F" w:tentative="1">
      <w:start w:val="1"/>
      <w:numFmt w:val="decimal"/>
      <w:lvlText w:val="%7."/>
      <w:lvlJc w:val="left"/>
      <w:pPr>
        <w:ind w:left="4963" w:hanging="360"/>
      </w:pPr>
    </w:lvl>
    <w:lvl w:ilvl="7" w:tplc="04210019" w:tentative="1">
      <w:start w:val="1"/>
      <w:numFmt w:val="lowerLetter"/>
      <w:lvlText w:val="%8."/>
      <w:lvlJc w:val="left"/>
      <w:pPr>
        <w:ind w:left="5683" w:hanging="360"/>
      </w:pPr>
    </w:lvl>
    <w:lvl w:ilvl="8" w:tplc="0421001B" w:tentative="1">
      <w:start w:val="1"/>
      <w:numFmt w:val="lowerRoman"/>
      <w:lvlText w:val="%9."/>
      <w:lvlJc w:val="right"/>
      <w:pPr>
        <w:ind w:left="6403" w:hanging="180"/>
      </w:pPr>
    </w:lvl>
  </w:abstractNum>
  <w:abstractNum w:abstractNumId="2">
    <w:nsid w:val="0A477077"/>
    <w:multiLevelType w:val="hybridMultilevel"/>
    <w:tmpl w:val="BF080682"/>
    <w:lvl w:ilvl="0" w:tplc="04210013">
      <w:start w:val="1"/>
      <w:numFmt w:val="upperRoman"/>
      <w:lvlText w:val="%1."/>
      <w:lvlJc w:val="righ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25D1E5A"/>
    <w:multiLevelType w:val="hybridMultilevel"/>
    <w:tmpl w:val="4F9EB8B2"/>
    <w:lvl w:ilvl="0" w:tplc="A1C46708">
      <w:start w:val="2"/>
      <w:numFmt w:val="decimal"/>
      <w:lvlText w:val="3.3.%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4471330"/>
    <w:multiLevelType w:val="multilevel"/>
    <w:tmpl w:val="B02E3FD6"/>
    <w:styleLink w:val="Style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7B23EC1"/>
    <w:multiLevelType w:val="hybridMultilevel"/>
    <w:tmpl w:val="4A003BD6"/>
    <w:lvl w:ilvl="0" w:tplc="C3B0E3F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nsid w:val="19297FF7"/>
    <w:multiLevelType w:val="hybridMultilevel"/>
    <w:tmpl w:val="FFAC0DA2"/>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nsid w:val="1A61291A"/>
    <w:multiLevelType w:val="hybridMultilevel"/>
    <w:tmpl w:val="1CA67C84"/>
    <w:lvl w:ilvl="0" w:tplc="7846B640">
      <w:start w:val="1"/>
      <w:numFmt w:val="decimal"/>
      <w:lvlText w:val="3.2.%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C605243"/>
    <w:multiLevelType w:val="hybridMultilevel"/>
    <w:tmpl w:val="3984E9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EED1F63"/>
    <w:multiLevelType w:val="hybridMultilevel"/>
    <w:tmpl w:val="811C9E80"/>
    <w:lvl w:ilvl="0" w:tplc="61601844">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19F1481"/>
    <w:multiLevelType w:val="multilevel"/>
    <w:tmpl w:val="9056A5F4"/>
    <w:lvl w:ilvl="0">
      <w:start w:val="3"/>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14">
    <w:nsid w:val="222E0811"/>
    <w:multiLevelType w:val="hybridMultilevel"/>
    <w:tmpl w:val="A448EB90"/>
    <w:lvl w:ilvl="0" w:tplc="70527E24">
      <w:start w:val="1"/>
      <w:numFmt w:val="bullet"/>
      <w:lvlText w:val=""/>
      <w:lvlJc w:val="left"/>
      <w:pPr>
        <w:ind w:left="720" w:hanging="360"/>
      </w:pPr>
      <w:rPr>
        <w:rFonts w:ascii="Symbol" w:hAnsi="Symbol" w:hint="default"/>
        <w:sz w:val="28"/>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nsid w:val="22F00B78"/>
    <w:multiLevelType w:val="hybridMultilevel"/>
    <w:tmpl w:val="D9CC245E"/>
    <w:lvl w:ilvl="0" w:tplc="9C32BE30">
      <w:start w:val="1"/>
      <w:numFmt w:val="decimal"/>
      <w:lvlText w:val="%1."/>
      <w:lvlJc w:val="left"/>
      <w:pPr>
        <w:ind w:left="644" w:hanging="360"/>
      </w:pPr>
      <w:rPr>
        <w:rFonts w:cs="Times New Roman"/>
      </w:rPr>
    </w:lvl>
    <w:lvl w:ilvl="1" w:tplc="04090019">
      <w:start w:val="1"/>
      <w:numFmt w:val="lowerLetter"/>
      <w:lvlText w:val="%2."/>
      <w:lvlJc w:val="left"/>
      <w:pPr>
        <w:ind w:left="1364" w:hanging="360"/>
      </w:pPr>
      <w:rPr>
        <w:rFonts w:cs="Times New Roman"/>
      </w:rPr>
    </w:lvl>
    <w:lvl w:ilvl="2" w:tplc="0409001B">
      <w:start w:val="1"/>
      <w:numFmt w:val="lowerRoman"/>
      <w:lvlText w:val="%3."/>
      <w:lvlJc w:val="right"/>
      <w:pPr>
        <w:ind w:left="2084" w:hanging="180"/>
      </w:pPr>
      <w:rPr>
        <w:rFonts w:cs="Times New Roman"/>
      </w:rPr>
    </w:lvl>
    <w:lvl w:ilvl="3" w:tplc="0409000F">
      <w:start w:val="1"/>
      <w:numFmt w:val="decimal"/>
      <w:lvlText w:val="%4."/>
      <w:lvlJc w:val="left"/>
      <w:pPr>
        <w:ind w:left="2804" w:hanging="360"/>
      </w:pPr>
      <w:rPr>
        <w:rFonts w:cs="Times New Roman"/>
      </w:rPr>
    </w:lvl>
    <w:lvl w:ilvl="4" w:tplc="04090019">
      <w:start w:val="1"/>
      <w:numFmt w:val="lowerLetter"/>
      <w:lvlText w:val="%5."/>
      <w:lvlJc w:val="left"/>
      <w:pPr>
        <w:ind w:left="3524" w:hanging="360"/>
      </w:pPr>
      <w:rPr>
        <w:rFonts w:cs="Times New Roman"/>
      </w:rPr>
    </w:lvl>
    <w:lvl w:ilvl="5" w:tplc="0409001B">
      <w:start w:val="1"/>
      <w:numFmt w:val="lowerRoman"/>
      <w:lvlText w:val="%6."/>
      <w:lvlJc w:val="right"/>
      <w:pPr>
        <w:ind w:left="4244" w:hanging="180"/>
      </w:pPr>
      <w:rPr>
        <w:rFonts w:cs="Times New Roman"/>
      </w:rPr>
    </w:lvl>
    <w:lvl w:ilvl="6" w:tplc="0409000F">
      <w:start w:val="1"/>
      <w:numFmt w:val="decimal"/>
      <w:lvlText w:val="%7."/>
      <w:lvlJc w:val="left"/>
      <w:pPr>
        <w:ind w:left="4964" w:hanging="360"/>
      </w:pPr>
      <w:rPr>
        <w:rFonts w:cs="Times New Roman"/>
      </w:rPr>
    </w:lvl>
    <w:lvl w:ilvl="7" w:tplc="04090019">
      <w:start w:val="1"/>
      <w:numFmt w:val="lowerLetter"/>
      <w:lvlText w:val="%8."/>
      <w:lvlJc w:val="left"/>
      <w:pPr>
        <w:ind w:left="5684" w:hanging="360"/>
      </w:pPr>
      <w:rPr>
        <w:rFonts w:cs="Times New Roman"/>
      </w:rPr>
    </w:lvl>
    <w:lvl w:ilvl="8" w:tplc="0409001B">
      <w:start w:val="1"/>
      <w:numFmt w:val="lowerRoman"/>
      <w:lvlText w:val="%9."/>
      <w:lvlJc w:val="right"/>
      <w:pPr>
        <w:ind w:left="6404" w:hanging="180"/>
      </w:pPr>
      <w:rPr>
        <w:rFonts w:cs="Times New Roman"/>
      </w:rPr>
    </w:lvl>
  </w:abstractNum>
  <w:abstractNum w:abstractNumId="16">
    <w:nsid w:val="231351FB"/>
    <w:multiLevelType w:val="hybridMultilevel"/>
    <w:tmpl w:val="B980F556"/>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7">
    <w:nsid w:val="2C2250F8"/>
    <w:multiLevelType w:val="hybridMultilevel"/>
    <w:tmpl w:val="3032748E"/>
    <w:lvl w:ilvl="0" w:tplc="C72C9DA4">
      <w:start w:val="2"/>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2DC92A11"/>
    <w:multiLevelType w:val="hybridMultilevel"/>
    <w:tmpl w:val="F6B89910"/>
    <w:lvl w:ilvl="0" w:tplc="99D871B0">
      <w:start w:val="3"/>
      <w:numFmt w:val="decimal"/>
      <w:lvlText w:val="3.%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9">
    <w:nsid w:val="2E077EB9"/>
    <w:multiLevelType w:val="hybridMultilevel"/>
    <w:tmpl w:val="DF8E0BFE"/>
    <w:lvl w:ilvl="0" w:tplc="4FF83210">
      <w:start w:val="1"/>
      <w:numFmt w:val="decimal"/>
      <w:lvlText w:val="3.2.%1"/>
      <w:lvlJc w:val="left"/>
      <w:pPr>
        <w:ind w:left="720" w:hanging="360"/>
      </w:pPr>
      <w:rPr>
        <w:rFonts w:hint="default"/>
        <w:b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3461381C"/>
    <w:multiLevelType w:val="hybridMultilevel"/>
    <w:tmpl w:val="7A0ECA02"/>
    <w:lvl w:ilvl="0" w:tplc="0409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8305A9F"/>
    <w:multiLevelType w:val="hybridMultilevel"/>
    <w:tmpl w:val="ACA6DE22"/>
    <w:lvl w:ilvl="0" w:tplc="B1187D92">
      <w:start w:val="1"/>
      <w:numFmt w:val="decimal"/>
      <w:lvlText w:val="3.2.%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A7A1E28"/>
    <w:multiLevelType w:val="hybridMultilevel"/>
    <w:tmpl w:val="3C1EDB34"/>
    <w:lvl w:ilvl="0" w:tplc="90102A82">
      <w:start w:val="1"/>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3AD94EFB"/>
    <w:multiLevelType w:val="hybridMultilevel"/>
    <w:tmpl w:val="770439CC"/>
    <w:lvl w:ilvl="0" w:tplc="25A80A54">
      <w:start w:val="1"/>
      <w:numFmt w:val="decimal"/>
      <w:lvlText w:val="1.%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3B877C3D"/>
    <w:multiLevelType w:val="multilevel"/>
    <w:tmpl w:val="C1C63D0A"/>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28">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436A6B21"/>
    <w:multiLevelType w:val="hybridMultilevel"/>
    <w:tmpl w:val="589CE890"/>
    <w:lvl w:ilvl="0" w:tplc="0421000F">
      <w:start w:val="1"/>
      <w:numFmt w:val="decimal"/>
      <w:lvlText w:val="%1."/>
      <w:lvlJc w:val="left"/>
      <w:pPr>
        <w:ind w:left="1723" w:hanging="360"/>
      </w:pPr>
    </w:lvl>
    <w:lvl w:ilvl="1" w:tplc="04210019" w:tentative="1">
      <w:start w:val="1"/>
      <w:numFmt w:val="lowerLetter"/>
      <w:lvlText w:val="%2."/>
      <w:lvlJc w:val="left"/>
      <w:pPr>
        <w:ind w:left="2443" w:hanging="360"/>
      </w:pPr>
    </w:lvl>
    <w:lvl w:ilvl="2" w:tplc="0421001B" w:tentative="1">
      <w:start w:val="1"/>
      <w:numFmt w:val="lowerRoman"/>
      <w:lvlText w:val="%3."/>
      <w:lvlJc w:val="right"/>
      <w:pPr>
        <w:ind w:left="3163" w:hanging="180"/>
      </w:pPr>
    </w:lvl>
    <w:lvl w:ilvl="3" w:tplc="0421000F" w:tentative="1">
      <w:start w:val="1"/>
      <w:numFmt w:val="decimal"/>
      <w:lvlText w:val="%4."/>
      <w:lvlJc w:val="left"/>
      <w:pPr>
        <w:ind w:left="3883" w:hanging="360"/>
      </w:pPr>
    </w:lvl>
    <w:lvl w:ilvl="4" w:tplc="04210019" w:tentative="1">
      <w:start w:val="1"/>
      <w:numFmt w:val="lowerLetter"/>
      <w:lvlText w:val="%5."/>
      <w:lvlJc w:val="left"/>
      <w:pPr>
        <w:ind w:left="4603" w:hanging="360"/>
      </w:pPr>
    </w:lvl>
    <w:lvl w:ilvl="5" w:tplc="0421001B" w:tentative="1">
      <w:start w:val="1"/>
      <w:numFmt w:val="lowerRoman"/>
      <w:lvlText w:val="%6."/>
      <w:lvlJc w:val="right"/>
      <w:pPr>
        <w:ind w:left="5323" w:hanging="180"/>
      </w:pPr>
    </w:lvl>
    <w:lvl w:ilvl="6" w:tplc="0421000F" w:tentative="1">
      <w:start w:val="1"/>
      <w:numFmt w:val="decimal"/>
      <w:lvlText w:val="%7."/>
      <w:lvlJc w:val="left"/>
      <w:pPr>
        <w:ind w:left="6043" w:hanging="360"/>
      </w:pPr>
    </w:lvl>
    <w:lvl w:ilvl="7" w:tplc="04210019" w:tentative="1">
      <w:start w:val="1"/>
      <w:numFmt w:val="lowerLetter"/>
      <w:lvlText w:val="%8."/>
      <w:lvlJc w:val="left"/>
      <w:pPr>
        <w:ind w:left="6763" w:hanging="360"/>
      </w:pPr>
    </w:lvl>
    <w:lvl w:ilvl="8" w:tplc="0421001B" w:tentative="1">
      <w:start w:val="1"/>
      <w:numFmt w:val="lowerRoman"/>
      <w:lvlText w:val="%9."/>
      <w:lvlJc w:val="right"/>
      <w:pPr>
        <w:ind w:left="7483" w:hanging="180"/>
      </w:pPr>
    </w:lvl>
  </w:abstractNum>
  <w:abstractNum w:abstractNumId="30">
    <w:nsid w:val="492A05B1"/>
    <w:multiLevelType w:val="hybridMultilevel"/>
    <w:tmpl w:val="47446B62"/>
    <w:lvl w:ilvl="0" w:tplc="F0F48906">
      <w:start w:val="1"/>
      <w:numFmt w:val="decimal"/>
      <w:lvlText w:val="4.%1"/>
      <w:lvlJc w:val="left"/>
      <w:pPr>
        <w:ind w:left="720" w:hanging="360"/>
      </w:pPr>
      <w:rPr>
        <w:rFonts w:hint="default"/>
        <w:b/>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4B071507"/>
    <w:multiLevelType w:val="hybridMultilevel"/>
    <w:tmpl w:val="77403B24"/>
    <w:lvl w:ilvl="0" w:tplc="22662472">
      <w:start w:val="3"/>
      <w:numFmt w:val="decimal"/>
      <w:lvlText w:val="%1."/>
      <w:lvlJc w:val="left"/>
      <w:pPr>
        <w:ind w:left="720" w:hanging="360"/>
      </w:pPr>
      <w:rPr>
        <w:rFonts w:hint="default"/>
        <w:b w:val="0"/>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4CC2021A"/>
    <w:multiLevelType w:val="multilevel"/>
    <w:tmpl w:val="B02E3FD6"/>
    <w:numStyleLink w:val="Style1"/>
  </w:abstractNum>
  <w:abstractNum w:abstractNumId="34">
    <w:nsid w:val="51FB433A"/>
    <w:multiLevelType w:val="hybridMultilevel"/>
    <w:tmpl w:val="B12EAC18"/>
    <w:lvl w:ilvl="0" w:tplc="90102A82">
      <w:start w:val="1"/>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36">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577857C1"/>
    <w:multiLevelType w:val="hybridMultilevel"/>
    <w:tmpl w:val="5B32F5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60515BE5"/>
    <w:multiLevelType w:val="hybridMultilevel"/>
    <w:tmpl w:val="9FC00810"/>
    <w:lvl w:ilvl="0" w:tplc="0421000F">
      <w:start w:val="1"/>
      <w:numFmt w:val="decimal"/>
      <w:lvlText w:val="%1."/>
      <w:lvlJc w:val="left"/>
      <w:pPr>
        <w:ind w:left="502" w:hanging="360"/>
      </w:p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41">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42">
    <w:nsid w:val="65A23480"/>
    <w:multiLevelType w:val="hybridMultilevel"/>
    <w:tmpl w:val="E53CC32E"/>
    <w:lvl w:ilvl="0" w:tplc="ED686DE4">
      <w:start w:val="1"/>
      <w:numFmt w:val="decimal"/>
      <w:lvlText w:val="[%1]"/>
      <w:lvlJc w:val="left"/>
      <w:pPr>
        <w:tabs>
          <w:tab w:val="num" w:pos="360"/>
        </w:tabs>
        <w:ind w:left="360" w:hanging="360"/>
      </w:pPr>
      <w:rPr>
        <w:rFonts w:hint="default"/>
      </w:rPr>
    </w:lvl>
    <w:lvl w:ilvl="1" w:tplc="1F30ED42" w:tentative="1">
      <w:start w:val="1"/>
      <w:numFmt w:val="lowerLetter"/>
      <w:lvlText w:val="%2."/>
      <w:lvlJc w:val="left"/>
      <w:pPr>
        <w:tabs>
          <w:tab w:val="num" w:pos="-458"/>
        </w:tabs>
        <w:ind w:left="-458" w:hanging="360"/>
      </w:pPr>
    </w:lvl>
    <w:lvl w:ilvl="2" w:tplc="C040DED2" w:tentative="1">
      <w:start w:val="1"/>
      <w:numFmt w:val="lowerRoman"/>
      <w:lvlText w:val="%3."/>
      <w:lvlJc w:val="right"/>
      <w:pPr>
        <w:tabs>
          <w:tab w:val="num" w:pos="262"/>
        </w:tabs>
        <w:ind w:left="262" w:hanging="180"/>
      </w:pPr>
    </w:lvl>
    <w:lvl w:ilvl="3" w:tplc="DE18C820" w:tentative="1">
      <w:start w:val="1"/>
      <w:numFmt w:val="decimal"/>
      <w:lvlText w:val="%4."/>
      <w:lvlJc w:val="left"/>
      <w:pPr>
        <w:tabs>
          <w:tab w:val="num" w:pos="982"/>
        </w:tabs>
        <w:ind w:left="982" w:hanging="360"/>
      </w:pPr>
    </w:lvl>
    <w:lvl w:ilvl="4" w:tplc="075A4E98" w:tentative="1">
      <w:start w:val="1"/>
      <w:numFmt w:val="lowerLetter"/>
      <w:lvlText w:val="%5."/>
      <w:lvlJc w:val="left"/>
      <w:pPr>
        <w:tabs>
          <w:tab w:val="num" w:pos="1702"/>
        </w:tabs>
        <w:ind w:left="1702" w:hanging="360"/>
      </w:pPr>
    </w:lvl>
    <w:lvl w:ilvl="5" w:tplc="728CF2D4" w:tentative="1">
      <w:start w:val="1"/>
      <w:numFmt w:val="lowerRoman"/>
      <w:lvlText w:val="%6."/>
      <w:lvlJc w:val="right"/>
      <w:pPr>
        <w:tabs>
          <w:tab w:val="num" w:pos="2422"/>
        </w:tabs>
        <w:ind w:left="2422" w:hanging="180"/>
      </w:pPr>
    </w:lvl>
    <w:lvl w:ilvl="6" w:tplc="38322716" w:tentative="1">
      <w:start w:val="1"/>
      <w:numFmt w:val="decimal"/>
      <w:lvlText w:val="%7."/>
      <w:lvlJc w:val="left"/>
      <w:pPr>
        <w:tabs>
          <w:tab w:val="num" w:pos="3142"/>
        </w:tabs>
        <w:ind w:left="3142" w:hanging="360"/>
      </w:pPr>
    </w:lvl>
    <w:lvl w:ilvl="7" w:tplc="E896667E" w:tentative="1">
      <w:start w:val="1"/>
      <w:numFmt w:val="lowerLetter"/>
      <w:lvlText w:val="%8."/>
      <w:lvlJc w:val="left"/>
      <w:pPr>
        <w:tabs>
          <w:tab w:val="num" w:pos="3862"/>
        </w:tabs>
        <w:ind w:left="3862" w:hanging="360"/>
      </w:pPr>
    </w:lvl>
    <w:lvl w:ilvl="8" w:tplc="641C0052" w:tentative="1">
      <w:start w:val="1"/>
      <w:numFmt w:val="lowerRoman"/>
      <w:lvlText w:val="%9."/>
      <w:lvlJc w:val="right"/>
      <w:pPr>
        <w:tabs>
          <w:tab w:val="num" w:pos="4582"/>
        </w:tabs>
        <w:ind w:left="4582" w:hanging="180"/>
      </w:pPr>
    </w:lvl>
  </w:abstractNum>
  <w:abstractNum w:abstractNumId="43">
    <w:nsid w:val="65F71107"/>
    <w:multiLevelType w:val="hybridMultilevel"/>
    <w:tmpl w:val="A496AF68"/>
    <w:lvl w:ilvl="0" w:tplc="04210001">
      <w:start w:val="1"/>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4">
    <w:nsid w:val="69790F40"/>
    <w:multiLevelType w:val="hybridMultilevel"/>
    <w:tmpl w:val="6778F0CE"/>
    <w:lvl w:ilvl="0" w:tplc="F2229E40">
      <w:start w:val="2"/>
      <w:numFmt w:val="decimal"/>
      <w:lvlText w:val="3.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46">
    <w:nsid w:val="6F502F35"/>
    <w:multiLevelType w:val="hybridMultilevel"/>
    <w:tmpl w:val="F564C352"/>
    <w:lvl w:ilvl="0" w:tplc="69D811EC">
      <w:start w:val="1"/>
      <w:numFmt w:val="decimal"/>
      <w:lvlText w:val="%1."/>
      <w:lvlJc w:val="left"/>
      <w:pPr>
        <w:ind w:left="720" w:hanging="360"/>
      </w:pPr>
      <w:rPr>
        <w:rFonts w:hint="default"/>
      </w:rPr>
    </w:lvl>
    <w:lvl w:ilvl="1" w:tplc="CAB6634A" w:tentative="1">
      <w:start w:val="1"/>
      <w:numFmt w:val="lowerLetter"/>
      <w:lvlText w:val="%2."/>
      <w:lvlJc w:val="left"/>
      <w:pPr>
        <w:ind w:left="1440" w:hanging="360"/>
      </w:pPr>
    </w:lvl>
    <w:lvl w:ilvl="2" w:tplc="7A8CC6A2" w:tentative="1">
      <w:start w:val="1"/>
      <w:numFmt w:val="lowerRoman"/>
      <w:lvlText w:val="%3."/>
      <w:lvlJc w:val="right"/>
      <w:pPr>
        <w:ind w:left="2160" w:hanging="180"/>
      </w:pPr>
    </w:lvl>
    <w:lvl w:ilvl="3" w:tplc="CA048068" w:tentative="1">
      <w:start w:val="1"/>
      <w:numFmt w:val="decimal"/>
      <w:lvlText w:val="%4."/>
      <w:lvlJc w:val="left"/>
      <w:pPr>
        <w:ind w:left="2880" w:hanging="360"/>
      </w:pPr>
    </w:lvl>
    <w:lvl w:ilvl="4" w:tplc="A64066DA" w:tentative="1">
      <w:start w:val="1"/>
      <w:numFmt w:val="lowerLetter"/>
      <w:lvlText w:val="%5."/>
      <w:lvlJc w:val="left"/>
      <w:pPr>
        <w:ind w:left="3600" w:hanging="360"/>
      </w:pPr>
    </w:lvl>
    <w:lvl w:ilvl="5" w:tplc="5510C43E" w:tentative="1">
      <w:start w:val="1"/>
      <w:numFmt w:val="lowerRoman"/>
      <w:lvlText w:val="%6."/>
      <w:lvlJc w:val="right"/>
      <w:pPr>
        <w:ind w:left="4320" w:hanging="180"/>
      </w:pPr>
    </w:lvl>
    <w:lvl w:ilvl="6" w:tplc="FCFCD41C" w:tentative="1">
      <w:start w:val="1"/>
      <w:numFmt w:val="decimal"/>
      <w:lvlText w:val="%7."/>
      <w:lvlJc w:val="left"/>
      <w:pPr>
        <w:ind w:left="5040" w:hanging="360"/>
      </w:pPr>
    </w:lvl>
    <w:lvl w:ilvl="7" w:tplc="C6BA793E" w:tentative="1">
      <w:start w:val="1"/>
      <w:numFmt w:val="lowerLetter"/>
      <w:lvlText w:val="%8."/>
      <w:lvlJc w:val="left"/>
      <w:pPr>
        <w:ind w:left="5760" w:hanging="360"/>
      </w:pPr>
    </w:lvl>
    <w:lvl w:ilvl="8" w:tplc="E09429C6" w:tentative="1">
      <w:start w:val="1"/>
      <w:numFmt w:val="lowerRoman"/>
      <w:lvlText w:val="%9."/>
      <w:lvlJc w:val="right"/>
      <w:pPr>
        <w:ind w:left="6480" w:hanging="180"/>
      </w:pPr>
    </w:lvl>
  </w:abstractNum>
  <w:abstractNum w:abstractNumId="47">
    <w:nsid w:val="78A06904"/>
    <w:multiLevelType w:val="hybridMultilevel"/>
    <w:tmpl w:val="F5566EA2"/>
    <w:lvl w:ilvl="0" w:tplc="F15E6856">
      <w:numFmt w:val="decimal"/>
      <w:lvlText w:val="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1"/>
  </w:num>
  <w:num w:numId="2">
    <w:abstractNumId w:val="35"/>
  </w:num>
  <w:num w:numId="3">
    <w:abstractNumId w:val="45"/>
  </w:num>
  <w:num w:numId="4">
    <w:abstractNumId w:val="31"/>
  </w:num>
  <w:num w:numId="5">
    <w:abstractNumId w:val="38"/>
  </w:num>
  <w:num w:numId="6">
    <w:abstractNumId w:val="42"/>
  </w:num>
  <w:num w:numId="7">
    <w:abstractNumId w:val="39"/>
  </w:num>
  <w:num w:numId="8">
    <w:abstractNumId w:val="36"/>
  </w:num>
  <w:num w:numId="9">
    <w:abstractNumId w:val="28"/>
  </w:num>
  <w:num w:numId="10">
    <w:abstractNumId w:val="10"/>
  </w:num>
  <w:num w:numId="11">
    <w:abstractNumId w:val="9"/>
  </w:num>
  <w:num w:numId="12">
    <w:abstractNumId w:val="22"/>
  </w:num>
  <w:num w:numId="13">
    <w:abstractNumId w:val="12"/>
  </w:num>
  <w:num w:numId="14">
    <w:abstractNumId w:val="24"/>
  </w:num>
  <w:num w:numId="15">
    <w:abstractNumId w:val="46"/>
  </w:num>
  <w:num w:numId="16">
    <w:abstractNumId w:val="26"/>
  </w:num>
  <w:num w:numId="17">
    <w:abstractNumId w:val="16"/>
  </w:num>
  <w:num w:numId="18">
    <w:abstractNumId w:val="1"/>
  </w:num>
  <w:num w:numId="19">
    <w:abstractNumId w:val="2"/>
  </w:num>
  <w:num w:numId="20">
    <w:abstractNumId w:val="18"/>
  </w:num>
  <w:num w:numId="21">
    <w:abstractNumId w:val="11"/>
  </w:num>
  <w:num w:numId="22">
    <w:abstractNumId w:val="3"/>
  </w:num>
  <w:num w:numId="23">
    <w:abstractNumId w:val="44"/>
  </w:num>
  <w:num w:numId="24">
    <w:abstractNumId w:val="25"/>
  </w:num>
  <w:num w:numId="25">
    <w:abstractNumId w:val="7"/>
  </w:num>
  <w:num w:numId="26">
    <w:abstractNumId w:val="23"/>
  </w:num>
  <w:num w:numId="27">
    <w:abstractNumId w:val="19"/>
  </w:num>
  <w:num w:numId="28">
    <w:abstractNumId w:val="34"/>
  </w:num>
  <w:num w:numId="29">
    <w:abstractNumId w:val="47"/>
  </w:num>
  <w:num w:numId="30">
    <w:abstractNumId w:val="17"/>
  </w:num>
  <w:num w:numId="31">
    <w:abstractNumId w:val="14"/>
  </w:num>
  <w:num w:numId="32">
    <w:abstractNumId w:val="30"/>
  </w:num>
  <w:num w:numId="33">
    <w:abstractNumId w:val="43"/>
  </w:num>
  <w:num w:numId="34">
    <w:abstractNumId w:val="0"/>
  </w:num>
  <w:num w:numId="35">
    <w:abstractNumId w:val="8"/>
  </w:num>
  <w:num w:numId="36">
    <w:abstractNumId w:val="6"/>
  </w:num>
  <w:num w:numId="37">
    <w:abstractNumId w:val="27"/>
  </w:num>
  <w:num w:numId="38">
    <w:abstractNumId w:val="32"/>
  </w:num>
  <w:num w:numId="39">
    <w:abstractNumId w:val="5"/>
  </w:num>
  <w:num w:numId="40">
    <w:abstractNumId w:val="37"/>
  </w:num>
  <w:num w:numId="41">
    <w:abstractNumId w:val="13"/>
  </w:num>
  <w:num w:numId="42">
    <w:abstractNumId w:val="21"/>
  </w:num>
  <w:num w:numId="43">
    <w:abstractNumId w:val="33"/>
  </w:num>
  <w:num w:numId="44">
    <w:abstractNumId w:val="4"/>
  </w:num>
  <w:num w:numId="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9"/>
  </w:num>
  <w:num w:numId="47">
    <w:abstractNumId w:val="20"/>
  </w:num>
  <w:num w:numId="48">
    <w:abstractNumId w:val="4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86C"/>
    <w:rsid w:val="000013CF"/>
    <w:rsid w:val="00001FD4"/>
    <w:rsid w:val="00002882"/>
    <w:rsid w:val="0000385F"/>
    <w:rsid w:val="00005EFC"/>
    <w:rsid w:val="00007744"/>
    <w:rsid w:val="000102E1"/>
    <w:rsid w:val="000106D0"/>
    <w:rsid w:val="00012CEF"/>
    <w:rsid w:val="00013825"/>
    <w:rsid w:val="000142B3"/>
    <w:rsid w:val="00014633"/>
    <w:rsid w:val="00015F2A"/>
    <w:rsid w:val="00017858"/>
    <w:rsid w:val="00021BF8"/>
    <w:rsid w:val="00027142"/>
    <w:rsid w:val="0002767D"/>
    <w:rsid w:val="000279BE"/>
    <w:rsid w:val="00034C84"/>
    <w:rsid w:val="000416A3"/>
    <w:rsid w:val="000437AE"/>
    <w:rsid w:val="000474E3"/>
    <w:rsid w:val="00047710"/>
    <w:rsid w:val="000523C5"/>
    <w:rsid w:val="00053FB7"/>
    <w:rsid w:val="0006020A"/>
    <w:rsid w:val="00060330"/>
    <w:rsid w:val="00060914"/>
    <w:rsid w:val="00060F5C"/>
    <w:rsid w:val="00061D77"/>
    <w:rsid w:val="00062720"/>
    <w:rsid w:val="000659C1"/>
    <w:rsid w:val="00065CB9"/>
    <w:rsid w:val="00066063"/>
    <w:rsid w:val="0007154C"/>
    <w:rsid w:val="00071CFF"/>
    <w:rsid w:val="0007236F"/>
    <w:rsid w:val="00073635"/>
    <w:rsid w:val="00076C16"/>
    <w:rsid w:val="000776D4"/>
    <w:rsid w:val="00080CCD"/>
    <w:rsid w:val="000830A2"/>
    <w:rsid w:val="00083B9D"/>
    <w:rsid w:val="00083DD6"/>
    <w:rsid w:val="00085121"/>
    <w:rsid w:val="00086551"/>
    <w:rsid w:val="000877AC"/>
    <w:rsid w:val="00087876"/>
    <w:rsid w:val="00087AF7"/>
    <w:rsid w:val="00090B78"/>
    <w:rsid w:val="00093380"/>
    <w:rsid w:val="00093C09"/>
    <w:rsid w:val="00094EB8"/>
    <w:rsid w:val="00095C3E"/>
    <w:rsid w:val="00096883"/>
    <w:rsid w:val="000973CC"/>
    <w:rsid w:val="00097958"/>
    <w:rsid w:val="00097E2D"/>
    <w:rsid w:val="000A059F"/>
    <w:rsid w:val="000A15DA"/>
    <w:rsid w:val="000A592D"/>
    <w:rsid w:val="000A643C"/>
    <w:rsid w:val="000A7ACA"/>
    <w:rsid w:val="000B0641"/>
    <w:rsid w:val="000B5480"/>
    <w:rsid w:val="000B682B"/>
    <w:rsid w:val="000C020C"/>
    <w:rsid w:val="000C03DA"/>
    <w:rsid w:val="000C0CDD"/>
    <w:rsid w:val="000C11B6"/>
    <w:rsid w:val="000C4B17"/>
    <w:rsid w:val="000C67A4"/>
    <w:rsid w:val="000C730A"/>
    <w:rsid w:val="000D0626"/>
    <w:rsid w:val="000D099B"/>
    <w:rsid w:val="000D248B"/>
    <w:rsid w:val="000D50C8"/>
    <w:rsid w:val="000D6591"/>
    <w:rsid w:val="000D6BC3"/>
    <w:rsid w:val="000E0AE1"/>
    <w:rsid w:val="000E0C84"/>
    <w:rsid w:val="000E0CE9"/>
    <w:rsid w:val="000E0E3C"/>
    <w:rsid w:val="000E199B"/>
    <w:rsid w:val="000E1C9D"/>
    <w:rsid w:val="000E28E0"/>
    <w:rsid w:val="000E4FD6"/>
    <w:rsid w:val="000E708C"/>
    <w:rsid w:val="000F279B"/>
    <w:rsid w:val="000F29E1"/>
    <w:rsid w:val="000F61E2"/>
    <w:rsid w:val="000F7ED5"/>
    <w:rsid w:val="0010046E"/>
    <w:rsid w:val="00102377"/>
    <w:rsid w:val="00102A61"/>
    <w:rsid w:val="001041EB"/>
    <w:rsid w:val="00104BF1"/>
    <w:rsid w:val="00106F02"/>
    <w:rsid w:val="001078A8"/>
    <w:rsid w:val="00107904"/>
    <w:rsid w:val="001108E2"/>
    <w:rsid w:val="001129DE"/>
    <w:rsid w:val="0011369D"/>
    <w:rsid w:val="00113CE6"/>
    <w:rsid w:val="00113F18"/>
    <w:rsid w:val="00114470"/>
    <w:rsid w:val="001172A5"/>
    <w:rsid w:val="00117326"/>
    <w:rsid w:val="00117C85"/>
    <w:rsid w:val="00117CC7"/>
    <w:rsid w:val="00121C37"/>
    <w:rsid w:val="00122833"/>
    <w:rsid w:val="00123036"/>
    <w:rsid w:val="00123165"/>
    <w:rsid w:val="00125C41"/>
    <w:rsid w:val="00126B1A"/>
    <w:rsid w:val="00130C98"/>
    <w:rsid w:val="0013179E"/>
    <w:rsid w:val="00131A6C"/>
    <w:rsid w:val="00131E4C"/>
    <w:rsid w:val="00132FB2"/>
    <w:rsid w:val="00133B59"/>
    <w:rsid w:val="00134CC4"/>
    <w:rsid w:val="00136716"/>
    <w:rsid w:val="00137465"/>
    <w:rsid w:val="00137A07"/>
    <w:rsid w:val="00137E25"/>
    <w:rsid w:val="00137F36"/>
    <w:rsid w:val="0014064B"/>
    <w:rsid w:val="001434C3"/>
    <w:rsid w:val="00143A0D"/>
    <w:rsid w:val="001441CB"/>
    <w:rsid w:val="00145201"/>
    <w:rsid w:val="0014526D"/>
    <w:rsid w:val="00145453"/>
    <w:rsid w:val="0014611F"/>
    <w:rsid w:val="00146861"/>
    <w:rsid w:val="001470F3"/>
    <w:rsid w:val="001501BE"/>
    <w:rsid w:val="001517E4"/>
    <w:rsid w:val="00151E7C"/>
    <w:rsid w:val="0015221A"/>
    <w:rsid w:val="001522FB"/>
    <w:rsid w:val="001523D9"/>
    <w:rsid w:val="001530A3"/>
    <w:rsid w:val="00153387"/>
    <w:rsid w:val="00153CD6"/>
    <w:rsid w:val="00154C55"/>
    <w:rsid w:val="00157C06"/>
    <w:rsid w:val="00161845"/>
    <w:rsid w:val="001620CD"/>
    <w:rsid w:val="00162849"/>
    <w:rsid w:val="00166432"/>
    <w:rsid w:val="00167012"/>
    <w:rsid w:val="001671A8"/>
    <w:rsid w:val="0016761A"/>
    <w:rsid w:val="00167BE2"/>
    <w:rsid w:val="0017238E"/>
    <w:rsid w:val="00177E2C"/>
    <w:rsid w:val="00180992"/>
    <w:rsid w:val="00180FD2"/>
    <w:rsid w:val="00180FD4"/>
    <w:rsid w:val="00181509"/>
    <w:rsid w:val="00181965"/>
    <w:rsid w:val="00185202"/>
    <w:rsid w:val="00186D3B"/>
    <w:rsid w:val="00187B69"/>
    <w:rsid w:val="0019050C"/>
    <w:rsid w:val="00192E8C"/>
    <w:rsid w:val="0019391D"/>
    <w:rsid w:val="0019413C"/>
    <w:rsid w:val="00194280"/>
    <w:rsid w:val="00195579"/>
    <w:rsid w:val="001A0839"/>
    <w:rsid w:val="001A33EF"/>
    <w:rsid w:val="001B21DC"/>
    <w:rsid w:val="001B2439"/>
    <w:rsid w:val="001B2EF9"/>
    <w:rsid w:val="001B4AB3"/>
    <w:rsid w:val="001B5250"/>
    <w:rsid w:val="001B5719"/>
    <w:rsid w:val="001B621C"/>
    <w:rsid w:val="001B64D0"/>
    <w:rsid w:val="001B7713"/>
    <w:rsid w:val="001B7915"/>
    <w:rsid w:val="001C0FE6"/>
    <w:rsid w:val="001C19EB"/>
    <w:rsid w:val="001C1DDC"/>
    <w:rsid w:val="001C5D85"/>
    <w:rsid w:val="001C7AC5"/>
    <w:rsid w:val="001D04CA"/>
    <w:rsid w:val="001D19C3"/>
    <w:rsid w:val="001D218B"/>
    <w:rsid w:val="001E026F"/>
    <w:rsid w:val="001E1922"/>
    <w:rsid w:val="001E2071"/>
    <w:rsid w:val="001E5CFB"/>
    <w:rsid w:val="001E608B"/>
    <w:rsid w:val="001E69C1"/>
    <w:rsid w:val="001E714C"/>
    <w:rsid w:val="001E7DCD"/>
    <w:rsid w:val="001E7FFA"/>
    <w:rsid w:val="001F04F5"/>
    <w:rsid w:val="001F0AFC"/>
    <w:rsid w:val="001F470F"/>
    <w:rsid w:val="001F4ACD"/>
    <w:rsid w:val="001F4FFD"/>
    <w:rsid w:val="001F6170"/>
    <w:rsid w:val="001F63D7"/>
    <w:rsid w:val="001F6ACF"/>
    <w:rsid w:val="001F6FB1"/>
    <w:rsid w:val="00203BE4"/>
    <w:rsid w:val="00204431"/>
    <w:rsid w:val="0020464A"/>
    <w:rsid w:val="00204A25"/>
    <w:rsid w:val="0020608E"/>
    <w:rsid w:val="002073B6"/>
    <w:rsid w:val="002076CA"/>
    <w:rsid w:val="002079DD"/>
    <w:rsid w:val="00212DCC"/>
    <w:rsid w:val="0021392B"/>
    <w:rsid w:val="002141C1"/>
    <w:rsid w:val="00215A37"/>
    <w:rsid w:val="00215A82"/>
    <w:rsid w:val="002162F1"/>
    <w:rsid w:val="00216F2A"/>
    <w:rsid w:val="00220914"/>
    <w:rsid w:val="00220CC6"/>
    <w:rsid w:val="00221D61"/>
    <w:rsid w:val="00221FB3"/>
    <w:rsid w:val="0022341C"/>
    <w:rsid w:val="00224456"/>
    <w:rsid w:val="00225A62"/>
    <w:rsid w:val="00225BEA"/>
    <w:rsid w:val="00230440"/>
    <w:rsid w:val="00230AAB"/>
    <w:rsid w:val="00232081"/>
    <w:rsid w:val="00232DA1"/>
    <w:rsid w:val="00237B26"/>
    <w:rsid w:val="00240303"/>
    <w:rsid w:val="0024180A"/>
    <w:rsid w:val="0024268D"/>
    <w:rsid w:val="00243CEB"/>
    <w:rsid w:val="00244295"/>
    <w:rsid w:val="002446F5"/>
    <w:rsid w:val="00250442"/>
    <w:rsid w:val="00250A66"/>
    <w:rsid w:val="00254253"/>
    <w:rsid w:val="00254EC2"/>
    <w:rsid w:val="00255002"/>
    <w:rsid w:val="002550AB"/>
    <w:rsid w:val="00256322"/>
    <w:rsid w:val="002575A8"/>
    <w:rsid w:val="00260476"/>
    <w:rsid w:val="00261B88"/>
    <w:rsid w:val="0026229E"/>
    <w:rsid w:val="002622CD"/>
    <w:rsid w:val="00264F41"/>
    <w:rsid w:val="0026573D"/>
    <w:rsid w:val="00266574"/>
    <w:rsid w:val="002668F8"/>
    <w:rsid w:val="00270E78"/>
    <w:rsid w:val="00271390"/>
    <w:rsid w:val="00271AB9"/>
    <w:rsid w:val="00271D65"/>
    <w:rsid w:val="0027245E"/>
    <w:rsid w:val="002743A4"/>
    <w:rsid w:val="00274BCC"/>
    <w:rsid w:val="00275406"/>
    <w:rsid w:val="002769E7"/>
    <w:rsid w:val="00276FE8"/>
    <w:rsid w:val="00281882"/>
    <w:rsid w:val="00281D99"/>
    <w:rsid w:val="002821B9"/>
    <w:rsid w:val="0028450D"/>
    <w:rsid w:val="0029173A"/>
    <w:rsid w:val="00291EBF"/>
    <w:rsid w:val="002931F4"/>
    <w:rsid w:val="0029573D"/>
    <w:rsid w:val="00296D8E"/>
    <w:rsid w:val="00297730"/>
    <w:rsid w:val="002A0772"/>
    <w:rsid w:val="002A0BB8"/>
    <w:rsid w:val="002B0601"/>
    <w:rsid w:val="002B10C7"/>
    <w:rsid w:val="002B1F0A"/>
    <w:rsid w:val="002B6EC9"/>
    <w:rsid w:val="002B7029"/>
    <w:rsid w:val="002B7609"/>
    <w:rsid w:val="002C0665"/>
    <w:rsid w:val="002C2C92"/>
    <w:rsid w:val="002C4749"/>
    <w:rsid w:val="002C5B29"/>
    <w:rsid w:val="002C6317"/>
    <w:rsid w:val="002D07B9"/>
    <w:rsid w:val="002D0C71"/>
    <w:rsid w:val="002D0F04"/>
    <w:rsid w:val="002D31A6"/>
    <w:rsid w:val="002D4A56"/>
    <w:rsid w:val="002D797A"/>
    <w:rsid w:val="002E0BC4"/>
    <w:rsid w:val="002E2CAE"/>
    <w:rsid w:val="002E55C2"/>
    <w:rsid w:val="002E6409"/>
    <w:rsid w:val="002E65F9"/>
    <w:rsid w:val="002E7D48"/>
    <w:rsid w:val="002F137A"/>
    <w:rsid w:val="002F267D"/>
    <w:rsid w:val="002F41A4"/>
    <w:rsid w:val="002F48E3"/>
    <w:rsid w:val="002F6BBA"/>
    <w:rsid w:val="002F6DFA"/>
    <w:rsid w:val="002F7C5F"/>
    <w:rsid w:val="0030038F"/>
    <w:rsid w:val="00301486"/>
    <w:rsid w:val="00302D7F"/>
    <w:rsid w:val="00306442"/>
    <w:rsid w:val="003069FB"/>
    <w:rsid w:val="00307537"/>
    <w:rsid w:val="00312C0C"/>
    <w:rsid w:val="00313AA2"/>
    <w:rsid w:val="003200C9"/>
    <w:rsid w:val="0032035E"/>
    <w:rsid w:val="003209C7"/>
    <w:rsid w:val="003226B6"/>
    <w:rsid w:val="0032306D"/>
    <w:rsid w:val="00326170"/>
    <w:rsid w:val="003263E9"/>
    <w:rsid w:val="00326D35"/>
    <w:rsid w:val="00331183"/>
    <w:rsid w:val="00332063"/>
    <w:rsid w:val="00332D4C"/>
    <w:rsid w:val="00333204"/>
    <w:rsid w:val="00333AB9"/>
    <w:rsid w:val="00333C06"/>
    <w:rsid w:val="0033459B"/>
    <w:rsid w:val="00334915"/>
    <w:rsid w:val="00335BE8"/>
    <w:rsid w:val="00337C87"/>
    <w:rsid w:val="00340DCC"/>
    <w:rsid w:val="0034265F"/>
    <w:rsid w:val="00343A49"/>
    <w:rsid w:val="00346441"/>
    <w:rsid w:val="003475EC"/>
    <w:rsid w:val="00350310"/>
    <w:rsid w:val="0035076B"/>
    <w:rsid w:val="00352BEB"/>
    <w:rsid w:val="00353885"/>
    <w:rsid w:val="00361EB1"/>
    <w:rsid w:val="003629D1"/>
    <w:rsid w:val="003637CE"/>
    <w:rsid w:val="003670B8"/>
    <w:rsid w:val="003715EC"/>
    <w:rsid w:val="00373753"/>
    <w:rsid w:val="00376867"/>
    <w:rsid w:val="00376A96"/>
    <w:rsid w:val="003772AC"/>
    <w:rsid w:val="00381E56"/>
    <w:rsid w:val="003826FF"/>
    <w:rsid w:val="0039273C"/>
    <w:rsid w:val="003939D7"/>
    <w:rsid w:val="00393D9D"/>
    <w:rsid w:val="00393E61"/>
    <w:rsid w:val="00395DAA"/>
    <w:rsid w:val="00396CA7"/>
    <w:rsid w:val="00396D02"/>
    <w:rsid w:val="003A0041"/>
    <w:rsid w:val="003A1C3E"/>
    <w:rsid w:val="003A2970"/>
    <w:rsid w:val="003A29D4"/>
    <w:rsid w:val="003A5088"/>
    <w:rsid w:val="003A7D80"/>
    <w:rsid w:val="003B0E46"/>
    <w:rsid w:val="003B14AA"/>
    <w:rsid w:val="003B19C7"/>
    <w:rsid w:val="003B25A5"/>
    <w:rsid w:val="003B3120"/>
    <w:rsid w:val="003B3537"/>
    <w:rsid w:val="003B567E"/>
    <w:rsid w:val="003B6932"/>
    <w:rsid w:val="003B72F9"/>
    <w:rsid w:val="003B79EB"/>
    <w:rsid w:val="003B7ED0"/>
    <w:rsid w:val="003C0D91"/>
    <w:rsid w:val="003C3E42"/>
    <w:rsid w:val="003C436F"/>
    <w:rsid w:val="003C4B05"/>
    <w:rsid w:val="003C72E2"/>
    <w:rsid w:val="003D07D2"/>
    <w:rsid w:val="003D2A5F"/>
    <w:rsid w:val="003D79CF"/>
    <w:rsid w:val="003E0207"/>
    <w:rsid w:val="003E11F6"/>
    <w:rsid w:val="003E304D"/>
    <w:rsid w:val="003E3D3C"/>
    <w:rsid w:val="003E4AA5"/>
    <w:rsid w:val="003F08C2"/>
    <w:rsid w:val="003F0964"/>
    <w:rsid w:val="003F18A1"/>
    <w:rsid w:val="003F1D93"/>
    <w:rsid w:val="003F2EB6"/>
    <w:rsid w:val="003F4897"/>
    <w:rsid w:val="003F5BAF"/>
    <w:rsid w:val="003F6587"/>
    <w:rsid w:val="00402C7D"/>
    <w:rsid w:val="00403A74"/>
    <w:rsid w:val="00407351"/>
    <w:rsid w:val="00407C2D"/>
    <w:rsid w:val="004106DF"/>
    <w:rsid w:val="00410EC9"/>
    <w:rsid w:val="00411A71"/>
    <w:rsid w:val="00411C0C"/>
    <w:rsid w:val="00413908"/>
    <w:rsid w:val="0041399A"/>
    <w:rsid w:val="00414535"/>
    <w:rsid w:val="00414925"/>
    <w:rsid w:val="00420D64"/>
    <w:rsid w:val="004218FA"/>
    <w:rsid w:val="00424E85"/>
    <w:rsid w:val="00425BE9"/>
    <w:rsid w:val="00427072"/>
    <w:rsid w:val="00433AA3"/>
    <w:rsid w:val="0043585C"/>
    <w:rsid w:val="00441F35"/>
    <w:rsid w:val="004428FA"/>
    <w:rsid w:val="00443205"/>
    <w:rsid w:val="004439D2"/>
    <w:rsid w:val="00445994"/>
    <w:rsid w:val="004503E9"/>
    <w:rsid w:val="00453463"/>
    <w:rsid w:val="004550E4"/>
    <w:rsid w:val="004637E8"/>
    <w:rsid w:val="00467368"/>
    <w:rsid w:val="004674CD"/>
    <w:rsid w:val="004710EE"/>
    <w:rsid w:val="00472E56"/>
    <w:rsid w:val="004740CC"/>
    <w:rsid w:val="004740EC"/>
    <w:rsid w:val="0048186C"/>
    <w:rsid w:val="004819CF"/>
    <w:rsid w:val="00482432"/>
    <w:rsid w:val="00484866"/>
    <w:rsid w:val="004859D6"/>
    <w:rsid w:val="00485FD1"/>
    <w:rsid w:val="0048797E"/>
    <w:rsid w:val="00487DD3"/>
    <w:rsid w:val="004902C8"/>
    <w:rsid w:val="004905D4"/>
    <w:rsid w:val="00492E44"/>
    <w:rsid w:val="0049431F"/>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76DC"/>
    <w:rsid w:val="004C0B2C"/>
    <w:rsid w:val="004C3BEB"/>
    <w:rsid w:val="004C59ED"/>
    <w:rsid w:val="004C65D5"/>
    <w:rsid w:val="004D6C24"/>
    <w:rsid w:val="004D7295"/>
    <w:rsid w:val="004E140A"/>
    <w:rsid w:val="004E154B"/>
    <w:rsid w:val="004E1914"/>
    <w:rsid w:val="004E32A4"/>
    <w:rsid w:val="004E3613"/>
    <w:rsid w:val="004E3CAD"/>
    <w:rsid w:val="004E6C69"/>
    <w:rsid w:val="004E7F4B"/>
    <w:rsid w:val="004F101E"/>
    <w:rsid w:val="004F2A11"/>
    <w:rsid w:val="004F3166"/>
    <w:rsid w:val="004F3208"/>
    <w:rsid w:val="004F44EE"/>
    <w:rsid w:val="004F54D2"/>
    <w:rsid w:val="004F6193"/>
    <w:rsid w:val="004F7676"/>
    <w:rsid w:val="004F7C81"/>
    <w:rsid w:val="00501713"/>
    <w:rsid w:val="0050282E"/>
    <w:rsid w:val="00505F41"/>
    <w:rsid w:val="00505FC8"/>
    <w:rsid w:val="0050794C"/>
    <w:rsid w:val="0051075B"/>
    <w:rsid w:val="00511236"/>
    <w:rsid w:val="00511539"/>
    <w:rsid w:val="00512DE0"/>
    <w:rsid w:val="0051361F"/>
    <w:rsid w:val="00515455"/>
    <w:rsid w:val="00516317"/>
    <w:rsid w:val="005174FF"/>
    <w:rsid w:val="00520EC3"/>
    <w:rsid w:val="0052138C"/>
    <w:rsid w:val="005213A1"/>
    <w:rsid w:val="005214F9"/>
    <w:rsid w:val="00522CCA"/>
    <w:rsid w:val="00523362"/>
    <w:rsid w:val="00523B26"/>
    <w:rsid w:val="0052442F"/>
    <w:rsid w:val="00526CFA"/>
    <w:rsid w:val="00530CAF"/>
    <w:rsid w:val="00530F04"/>
    <w:rsid w:val="0053172B"/>
    <w:rsid w:val="00532941"/>
    <w:rsid w:val="00535A39"/>
    <w:rsid w:val="005373E3"/>
    <w:rsid w:val="00540DCE"/>
    <w:rsid w:val="00540DD7"/>
    <w:rsid w:val="00541F86"/>
    <w:rsid w:val="00541FCB"/>
    <w:rsid w:val="0054283A"/>
    <w:rsid w:val="00543308"/>
    <w:rsid w:val="00545E9C"/>
    <w:rsid w:val="00547658"/>
    <w:rsid w:val="0054768C"/>
    <w:rsid w:val="00556030"/>
    <w:rsid w:val="0055649A"/>
    <w:rsid w:val="00562B2B"/>
    <w:rsid w:val="00563102"/>
    <w:rsid w:val="005657D7"/>
    <w:rsid w:val="00565958"/>
    <w:rsid w:val="00572013"/>
    <w:rsid w:val="00573257"/>
    <w:rsid w:val="005778F7"/>
    <w:rsid w:val="00577A3F"/>
    <w:rsid w:val="005805DF"/>
    <w:rsid w:val="0058326E"/>
    <w:rsid w:val="005833B8"/>
    <w:rsid w:val="0058384E"/>
    <w:rsid w:val="00583A03"/>
    <w:rsid w:val="005841BA"/>
    <w:rsid w:val="00584301"/>
    <w:rsid w:val="005877F2"/>
    <w:rsid w:val="00592442"/>
    <w:rsid w:val="0059283B"/>
    <w:rsid w:val="00593E92"/>
    <w:rsid w:val="005949F1"/>
    <w:rsid w:val="005956F7"/>
    <w:rsid w:val="00595CB2"/>
    <w:rsid w:val="005978C8"/>
    <w:rsid w:val="005A0A0F"/>
    <w:rsid w:val="005A2361"/>
    <w:rsid w:val="005A24ED"/>
    <w:rsid w:val="005A2573"/>
    <w:rsid w:val="005A3193"/>
    <w:rsid w:val="005A4783"/>
    <w:rsid w:val="005A5CCF"/>
    <w:rsid w:val="005A6B87"/>
    <w:rsid w:val="005B034E"/>
    <w:rsid w:val="005B0825"/>
    <w:rsid w:val="005B0A84"/>
    <w:rsid w:val="005B2D16"/>
    <w:rsid w:val="005B4DAF"/>
    <w:rsid w:val="005B56A0"/>
    <w:rsid w:val="005B5788"/>
    <w:rsid w:val="005B60D5"/>
    <w:rsid w:val="005B693A"/>
    <w:rsid w:val="005C035D"/>
    <w:rsid w:val="005C11D6"/>
    <w:rsid w:val="005C12EA"/>
    <w:rsid w:val="005C1759"/>
    <w:rsid w:val="005C22AA"/>
    <w:rsid w:val="005C234E"/>
    <w:rsid w:val="005D02EE"/>
    <w:rsid w:val="005D0C1B"/>
    <w:rsid w:val="005D210E"/>
    <w:rsid w:val="005D3D27"/>
    <w:rsid w:val="005D464B"/>
    <w:rsid w:val="005D7D3A"/>
    <w:rsid w:val="005D7EB1"/>
    <w:rsid w:val="005E4EE1"/>
    <w:rsid w:val="005E6EF7"/>
    <w:rsid w:val="005E736A"/>
    <w:rsid w:val="005E75FC"/>
    <w:rsid w:val="005F042D"/>
    <w:rsid w:val="005F3D1C"/>
    <w:rsid w:val="005F534C"/>
    <w:rsid w:val="005F75F8"/>
    <w:rsid w:val="00602357"/>
    <w:rsid w:val="006044C7"/>
    <w:rsid w:val="006123B6"/>
    <w:rsid w:val="00613977"/>
    <w:rsid w:val="0061627D"/>
    <w:rsid w:val="006206C7"/>
    <w:rsid w:val="00622EC4"/>
    <w:rsid w:val="00624875"/>
    <w:rsid w:val="0062488B"/>
    <w:rsid w:val="006327F1"/>
    <w:rsid w:val="00636167"/>
    <w:rsid w:val="00644417"/>
    <w:rsid w:val="00647075"/>
    <w:rsid w:val="006520FF"/>
    <w:rsid w:val="00652EBE"/>
    <w:rsid w:val="006549EF"/>
    <w:rsid w:val="00655C14"/>
    <w:rsid w:val="00656186"/>
    <w:rsid w:val="00656420"/>
    <w:rsid w:val="00662070"/>
    <w:rsid w:val="0066237A"/>
    <w:rsid w:val="006628A9"/>
    <w:rsid w:val="00665A9F"/>
    <w:rsid w:val="00665B37"/>
    <w:rsid w:val="0066676B"/>
    <w:rsid w:val="006719D8"/>
    <w:rsid w:val="0067364F"/>
    <w:rsid w:val="00675D81"/>
    <w:rsid w:val="00676455"/>
    <w:rsid w:val="00676D0D"/>
    <w:rsid w:val="00676EB9"/>
    <w:rsid w:val="0068043D"/>
    <w:rsid w:val="00682B00"/>
    <w:rsid w:val="00685028"/>
    <w:rsid w:val="00685AA5"/>
    <w:rsid w:val="00685FB4"/>
    <w:rsid w:val="006863DA"/>
    <w:rsid w:val="0068702E"/>
    <w:rsid w:val="00687CA7"/>
    <w:rsid w:val="00687D3A"/>
    <w:rsid w:val="006925E2"/>
    <w:rsid w:val="006932E0"/>
    <w:rsid w:val="006942E3"/>
    <w:rsid w:val="006A0231"/>
    <w:rsid w:val="006A090C"/>
    <w:rsid w:val="006A0BC1"/>
    <w:rsid w:val="006A1384"/>
    <w:rsid w:val="006A277B"/>
    <w:rsid w:val="006A34DA"/>
    <w:rsid w:val="006A6AEE"/>
    <w:rsid w:val="006B0965"/>
    <w:rsid w:val="006B6754"/>
    <w:rsid w:val="006B677E"/>
    <w:rsid w:val="006B71FD"/>
    <w:rsid w:val="006B786C"/>
    <w:rsid w:val="006C0661"/>
    <w:rsid w:val="006C0E3B"/>
    <w:rsid w:val="006C18AF"/>
    <w:rsid w:val="006C1D12"/>
    <w:rsid w:val="006C6571"/>
    <w:rsid w:val="006D1334"/>
    <w:rsid w:val="006D29E6"/>
    <w:rsid w:val="006D449D"/>
    <w:rsid w:val="006D5851"/>
    <w:rsid w:val="006D5DAA"/>
    <w:rsid w:val="006D60D9"/>
    <w:rsid w:val="006D6178"/>
    <w:rsid w:val="006E27F4"/>
    <w:rsid w:val="006E361D"/>
    <w:rsid w:val="006E3810"/>
    <w:rsid w:val="006E44B1"/>
    <w:rsid w:val="006E492E"/>
    <w:rsid w:val="006E4C9D"/>
    <w:rsid w:val="006E5DCF"/>
    <w:rsid w:val="006E669C"/>
    <w:rsid w:val="006E69BB"/>
    <w:rsid w:val="006E6A6B"/>
    <w:rsid w:val="006E786F"/>
    <w:rsid w:val="006F01C3"/>
    <w:rsid w:val="006F5B9E"/>
    <w:rsid w:val="006F7480"/>
    <w:rsid w:val="006F7CC6"/>
    <w:rsid w:val="0070124C"/>
    <w:rsid w:val="007017C6"/>
    <w:rsid w:val="007027BB"/>
    <w:rsid w:val="007029C9"/>
    <w:rsid w:val="00705140"/>
    <w:rsid w:val="007066C5"/>
    <w:rsid w:val="00712FFF"/>
    <w:rsid w:val="007142C8"/>
    <w:rsid w:val="0071626D"/>
    <w:rsid w:val="00717A32"/>
    <w:rsid w:val="00720729"/>
    <w:rsid w:val="007212E2"/>
    <w:rsid w:val="00723C09"/>
    <w:rsid w:val="00723DEB"/>
    <w:rsid w:val="007306AF"/>
    <w:rsid w:val="00730DF1"/>
    <w:rsid w:val="00731179"/>
    <w:rsid w:val="00731AEB"/>
    <w:rsid w:val="00734D11"/>
    <w:rsid w:val="00735674"/>
    <w:rsid w:val="00740C36"/>
    <w:rsid w:val="00741A8F"/>
    <w:rsid w:val="00742008"/>
    <w:rsid w:val="00743BA0"/>
    <w:rsid w:val="007473F1"/>
    <w:rsid w:val="00747DFD"/>
    <w:rsid w:val="00753A27"/>
    <w:rsid w:val="00754329"/>
    <w:rsid w:val="007547A1"/>
    <w:rsid w:val="00756A93"/>
    <w:rsid w:val="0075769A"/>
    <w:rsid w:val="007637F6"/>
    <w:rsid w:val="0076561F"/>
    <w:rsid w:val="00765DEF"/>
    <w:rsid w:val="00766E46"/>
    <w:rsid w:val="00770E6E"/>
    <w:rsid w:val="00771A7C"/>
    <w:rsid w:val="0077230A"/>
    <w:rsid w:val="00772725"/>
    <w:rsid w:val="0077318C"/>
    <w:rsid w:val="00773EB7"/>
    <w:rsid w:val="007751AA"/>
    <w:rsid w:val="00777AD7"/>
    <w:rsid w:val="00781F66"/>
    <w:rsid w:val="00783FA7"/>
    <w:rsid w:val="0079451D"/>
    <w:rsid w:val="007A04C8"/>
    <w:rsid w:val="007A3102"/>
    <w:rsid w:val="007A3B30"/>
    <w:rsid w:val="007A3FC0"/>
    <w:rsid w:val="007A49BA"/>
    <w:rsid w:val="007A609F"/>
    <w:rsid w:val="007A7484"/>
    <w:rsid w:val="007B260C"/>
    <w:rsid w:val="007B57A1"/>
    <w:rsid w:val="007B7535"/>
    <w:rsid w:val="007C0D3D"/>
    <w:rsid w:val="007C2A08"/>
    <w:rsid w:val="007C60D8"/>
    <w:rsid w:val="007D0AC6"/>
    <w:rsid w:val="007D2077"/>
    <w:rsid w:val="007D3F94"/>
    <w:rsid w:val="007D4B45"/>
    <w:rsid w:val="007D7A78"/>
    <w:rsid w:val="007E2D5E"/>
    <w:rsid w:val="007E41A4"/>
    <w:rsid w:val="007E5812"/>
    <w:rsid w:val="007E68A5"/>
    <w:rsid w:val="007F1EC7"/>
    <w:rsid w:val="007F36F4"/>
    <w:rsid w:val="007F3EAF"/>
    <w:rsid w:val="007F40B0"/>
    <w:rsid w:val="007F5F38"/>
    <w:rsid w:val="007F665B"/>
    <w:rsid w:val="007F76FD"/>
    <w:rsid w:val="00801A8E"/>
    <w:rsid w:val="0080282E"/>
    <w:rsid w:val="008042C8"/>
    <w:rsid w:val="00805CFD"/>
    <w:rsid w:val="00807F15"/>
    <w:rsid w:val="00811912"/>
    <w:rsid w:val="008123AF"/>
    <w:rsid w:val="0081359D"/>
    <w:rsid w:val="008136A0"/>
    <w:rsid w:val="008137C6"/>
    <w:rsid w:val="00813CDD"/>
    <w:rsid w:val="00814164"/>
    <w:rsid w:val="00815A2E"/>
    <w:rsid w:val="008168B9"/>
    <w:rsid w:val="00820B4E"/>
    <w:rsid w:val="00822488"/>
    <w:rsid w:val="00823B38"/>
    <w:rsid w:val="00823F1C"/>
    <w:rsid w:val="00824697"/>
    <w:rsid w:val="00827A30"/>
    <w:rsid w:val="008318B8"/>
    <w:rsid w:val="00831DDD"/>
    <w:rsid w:val="00832386"/>
    <w:rsid w:val="00832609"/>
    <w:rsid w:val="008332DA"/>
    <w:rsid w:val="008344C2"/>
    <w:rsid w:val="00834BAC"/>
    <w:rsid w:val="00836D01"/>
    <w:rsid w:val="008379F3"/>
    <w:rsid w:val="00837EA3"/>
    <w:rsid w:val="008439A0"/>
    <w:rsid w:val="00843BE9"/>
    <w:rsid w:val="008508FF"/>
    <w:rsid w:val="00850CAC"/>
    <w:rsid w:val="0085238C"/>
    <w:rsid w:val="008530DA"/>
    <w:rsid w:val="008538D0"/>
    <w:rsid w:val="00853BF4"/>
    <w:rsid w:val="00854ED5"/>
    <w:rsid w:val="00855965"/>
    <w:rsid w:val="00856356"/>
    <w:rsid w:val="008563F2"/>
    <w:rsid w:val="00860671"/>
    <w:rsid w:val="00861396"/>
    <w:rsid w:val="00862CD2"/>
    <w:rsid w:val="00864334"/>
    <w:rsid w:val="0086508B"/>
    <w:rsid w:val="00866E4F"/>
    <w:rsid w:val="0087156B"/>
    <w:rsid w:val="00872D7E"/>
    <w:rsid w:val="00874965"/>
    <w:rsid w:val="008754E6"/>
    <w:rsid w:val="0087776F"/>
    <w:rsid w:val="00877B15"/>
    <w:rsid w:val="0088280A"/>
    <w:rsid w:val="00882EA9"/>
    <w:rsid w:val="00883C52"/>
    <w:rsid w:val="00883EB7"/>
    <w:rsid w:val="00891446"/>
    <w:rsid w:val="00891A53"/>
    <w:rsid w:val="00892C9F"/>
    <w:rsid w:val="00892FBD"/>
    <w:rsid w:val="00893AD8"/>
    <w:rsid w:val="00893D2C"/>
    <w:rsid w:val="00894AB2"/>
    <w:rsid w:val="00894D11"/>
    <w:rsid w:val="0089523F"/>
    <w:rsid w:val="008967E5"/>
    <w:rsid w:val="00897BCF"/>
    <w:rsid w:val="008A07FE"/>
    <w:rsid w:val="008A12AD"/>
    <w:rsid w:val="008A1677"/>
    <w:rsid w:val="008A6436"/>
    <w:rsid w:val="008B04B3"/>
    <w:rsid w:val="008B0616"/>
    <w:rsid w:val="008B144F"/>
    <w:rsid w:val="008B279B"/>
    <w:rsid w:val="008B3B85"/>
    <w:rsid w:val="008B42E3"/>
    <w:rsid w:val="008B469D"/>
    <w:rsid w:val="008B4E8C"/>
    <w:rsid w:val="008B56CB"/>
    <w:rsid w:val="008B60B8"/>
    <w:rsid w:val="008C12BE"/>
    <w:rsid w:val="008C1B93"/>
    <w:rsid w:val="008C22C7"/>
    <w:rsid w:val="008C38EB"/>
    <w:rsid w:val="008C414B"/>
    <w:rsid w:val="008C54EA"/>
    <w:rsid w:val="008C569A"/>
    <w:rsid w:val="008C5FBD"/>
    <w:rsid w:val="008C671C"/>
    <w:rsid w:val="008D29B7"/>
    <w:rsid w:val="008D3BDF"/>
    <w:rsid w:val="008D54FC"/>
    <w:rsid w:val="008D7EA2"/>
    <w:rsid w:val="008E1CA4"/>
    <w:rsid w:val="008E3FAA"/>
    <w:rsid w:val="008E737C"/>
    <w:rsid w:val="008F05B8"/>
    <w:rsid w:val="008F0C9D"/>
    <w:rsid w:val="008F0D5A"/>
    <w:rsid w:val="008F1C12"/>
    <w:rsid w:val="008F5A4B"/>
    <w:rsid w:val="008F5EF9"/>
    <w:rsid w:val="008F5F6F"/>
    <w:rsid w:val="00900EC1"/>
    <w:rsid w:val="00901214"/>
    <w:rsid w:val="00903B12"/>
    <w:rsid w:val="00904D6D"/>
    <w:rsid w:val="00904EC8"/>
    <w:rsid w:val="00906951"/>
    <w:rsid w:val="009074E7"/>
    <w:rsid w:val="0091187A"/>
    <w:rsid w:val="00912FBC"/>
    <w:rsid w:val="00913D3B"/>
    <w:rsid w:val="00913F75"/>
    <w:rsid w:val="009142FC"/>
    <w:rsid w:val="00921D05"/>
    <w:rsid w:val="0092257C"/>
    <w:rsid w:val="009243B5"/>
    <w:rsid w:val="0092577C"/>
    <w:rsid w:val="009314C3"/>
    <w:rsid w:val="009317FD"/>
    <w:rsid w:val="009406FF"/>
    <w:rsid w:val="009416C1"/>
    <w:rsid w:val="00941CD2"/>
    <w:rsid w:val="0094367D"/>
    <w:rsid w:val="00943FA1"/>
    <w:rsid w:val="00945A5C"/>
    <w:rsid w:val="00945F29"/>
    <w:rsid w:val="00945F87"/>
    <w:rsid w:val="00946389"/>
    <w:rsid w:val="0094738D"/>
    <w:rsid w:val="00950EF7"/>
    <w:rsid w:val="00954DC1"/>
    <w:rsid w:val="00955462"/>
    <w:rsid w:val="00956B64"/>
    <w:rsid w:val="00960597"/>
    <w:rsid w:val="009617A9"/>
    <w:rsid w:val="0096558F"/>
    <w:rsid w:val="00965F39"/>
    <w:rsid w:val="009665BE"/>
    <w:rsid w:val="009673AB"/>
    <w:rsid w:val="00970E84"/>
    <w:rsid w:val="00970FC9"/>
    <w:rsid w:val="00971153"/>
    <w:rsid w:val="009751D1"/>
    <w:rsid w:val="00981036"/>
    <w:rsid w:val="00981E5F"/>
    <w:rsid w:val="00983846"/>
    <w:rsid w:val="0098569D"/>
    <w:rsid w:val="00986A9F"/>
    <w:rsid w:val="00990CC8"/>
    <w:rsid w:val="0099227E"/>
    <w:rsid w:val="009949C5"/>
    <w:rsid w:val="009976BA"/>
    <w:rsid w:val="009A19B2"/>
    <w:rsid w:val="009A7C7E"/>
    <w:rsid w:val="009B3702"/>
    <w:rsid w:val="009B3EC0"/>
    <w:rsid w:val="009B5FE8"/>
    <w:rsid w:val="009B62B1"/>
    <w:rsid w:val="009B76C2"/>
    <w:rsid w:val="009C080D"/>
    <w:rsid w:val="009C5293"/>
    <w:rsid w:val="009C6C7B"/>
    <w:rsid w:val="009D1DBC"/>
    <w:rsid w:val="009D3C32"/>
    <w:rsid w:val="009D41DF"/>
    <w:rsid w:val="009D61CF"/>
    <w:rsid w:val="009D709E"/>
    <w:rsid w:val="009E0249"/>
    <w:rsid w:val="009E055A"/>
    <w:rsid w:val="009E0C4E"/>
    <w:rsid w:val="009E0F0F"/>
    <w:rsid w:val="009E36AC"/>
    <w:rsid w:val="009E4FB4"/>
    <w:rsid w:val="009E5694"/>
    <w:rsid w:val="009E585B"/>
    <w:rsid w:val="009E6741"/>
    <w:rsid w:val="009F040E"/>
    <w:rsid w:val="009F3673"/>
    <w:rsid w:val="00A02DD3"/>
    <w:rsid w:val="00A04D6C"/>
    <w:rsid w:val="00A05622"/>
    <w:rsid w:val="00A1136A"/>
    <w:rsid w:val="00A16250"/>
    <w:rsid w:val="00A17296"/>
    <w:rsid w:val="00A17D28"/>
    <w:rsid w:val="00A17E53"/>
    <w:rsid w:val="00A21621"/>
    <w:rsid w:val="00A217D3"/>
    <w:rsid w:val="00A22457"/>
    <w:rsid w:val="00A22900"/>
    <w:rsid w:val="00A302B1"/>
    <w:rsid w:val="00A31E71"/>
    <w:rsid w:val="00A3340E"/>
    <w:rsid w:val="00A42248"/>
    <w:rsid w:val="00A426C8"/>
    <w:rsid w:val="00A42ABF"/>
    <w:rsid w:val="00A4427E"/>
    <w:rsid w:val="00A46733"/>
    <w:rsid w:val="00A46ECF"/>
    <w:rsid w:val="00A477B8"/>
    <w:rsid w:val="00A47D0D"/>
    <w:rsid w:val="00A47F03"/>
    <w:rsid w:val="00A511E6"/>
    <w:rsid w:val="00A51683"/>
    <w:rsid w:val="00A51892"/>
    <w:rsid w:val="00A52037"/>
    <w:rsid w:val="00A52149"/>
    <w:rsid w:val="00A53922"/>
    <w:rsid w:val="00A5654D"/>
    <w:rsid w:val="00A5724F"/>
    <w:rsid w:val="00A6261F"/>
    <w:rsid w:val="00A648CF"/>
    <w:rsid w:val="00A65242"/>
    <w:rsid w:val="00A653A6"/>
    <w:rsid w:val="00A65646"/>
    <w:rsid w:val="00A656B3"/>
    <w:rsid w:val="00A65ECB"/>
    <w:rsid w:val="00A662A3"/>
    <w:rsid w:val="00A6697F"/>
    <w:rsid w:val="00A6703D"/>
    <w:rsid w:val="00A71C8A"/>
    <w:rsid w:val="00A71ED6"/>
    <w:rsid w:val="00A75CE7"/>
    <w:rsid w:val="00A77E76"/>
    <w:rsid w:val="00A80090"/>
    <w:rsid w:val="00A80D8C"/>
    <w:rsid w:val="00A84BD1"/>
    <w:rsid w:val="00A85A64"/>
    <w:rsid w:val="00A85DD9"/>
    <w:rsid w:val="00A93118"/>
    <w:rsid w:val="00A96FA0"/>
    <w:rsid w:val="00AA3EC5"/>
    <w:rsid w:val="00AA4B39"/>
    <w:rsid w:val="00AA512B"/>
    <w:rsid w:val="00AA608B"/>
    <w:rsid w:val="00AA77C0"/>
    <w:rsid w:val="00AB1CD7"/>
    <w:rsid w:val="00AB1F5C"/>
    <w:rsid w:val="00AB4311"/>
    <w:rsid w:val="00AB49DA"/>
    <w:rsid w:val="00AB59A7"/>
    <w:rsid w:val="00AB68F7"/>
    <w:rsid w:val="00AC077B"/>
    <w:rsid w:val="00AC0C82"/>
    <w:rsid w:val="00AC1F08"/>
    <w:rsid w:val="00AC60ED"/>
    <w:rsid w:val="00AC6353"/>
    <w:rsid w:val="00AC7B23"/>
    <w:rsid w:val="00AD564C"/>
    <w:rsid w:val="00AD5DF9"/>
    <w:rsid w:val="00AD7639"/>
    <w:rsid w:val="00AE0F87"/>
    <w:rsid w:val="00AE2DBD"/>
    <w:rsid w:val="00AE3182"/>
    <w:rsid w:val="00AE43A3"/>
    <w:rsid w:val="00AE4DBD"/>
    <w:rsid w:val="00AE55D3"/>
    <w:rsid w:val="00AE584B"/>
    <w:rsid w:val="00AF095A"/>
    <w:rsid w:val="00AF1119"/>
    <w:rsid w:val="00AF40E0"/>
    <w:rsid w:val="00AF567E"/>
    <w:rsid w:val="00AF59C3"/>
    <w:rsid w:val="00AF73D2"/>
    <w:rsid w:val="00B011BB"/>
    <w:rsid w:val="00B0163B"/>
    <w:rsid w:val="00B04312"/>
    <w:rsid w:val="00B0539A"/>
    <w:rsid w:val="00B05D34"/>
    <w:rsid w:val="00B06669"/>
    <w:rsid w:val="00B06F09"/>
    <w:rsid w:val="00B14782"/>
    <w:rsid w:val="00B14B32"/>
    <w:rsid w:val="00B14BA4"/>
    <w:rsid w:val="00B14C9C"/>
    <w:rsid w:val="00B14E05"/>
    <w:rsid w:val="00B162E1"/>
    <w:rsid w:val="00B16894"/>
    <w:rsid w:val="00B17156"/>
    <w:rsid w:val="00B17A29"/>
    <w:rsid w:val="00B17D85"/>
    <w:rsid w:val="00B203B5"/>
    <w:rsid w:val="00B21966"/>
    <w:rsid w:val="00B2363C"/>
    <w:rsid w:val="00B252F9"/>
    <w:rsid w:val="00B25977"/>
    <w:rsid w:val="00B271D8"/>
    <w:rsid w:val="00B27C45"/>
    <w:rsid w:val="00B3036A"/>
    <w:rsid w:val="00B313EB"/>
    <w:rsid w:val="00B3198A"/>
    <w:rsid w:val="00B34812"/>
    <w:rsid w:val="00B357AE"/>
    <w:rsid w:val="00B37E57"/>
    <w:rsid w:val="00B42FA5"/>
    <w:rsid w:val="00B47C95"/>
    <w:rsid w:val="00B514D3"/>
    <w:rsid w:val="00B51BC7"/>
    <w:rsid w:val="00B52134"/>
    <w:rsid w:val="00B534CF"/>
    <w:rsid w:val="00B56063"/>
    <w:rsid w:val="00B56D4F"/>
    <w:rsid w:val="00B570B0"/>
    <w:rsid w:val="00B57714"/>
    <w:rsid w:val="00B61553"/>
    <w:rsid w:val="00B61620"/>
    <w:rsid w:val="00B6383F"/>
    <w:rsid w:val="00B64061"/>
    <w:rsid w:val="00B64D29"/>
    <w:rsid w:val="00B65BB6"/>
    <w:rsid w:val="00B66690"/>
    <w:rsid w:val="00B7048C"/>
    <w:rsid w:val="00B71D8A"/>
    <w:rsid w:val="00B73F7D"/>
    <w:rsid w:val="00B743B9"/>
    <w:rsid w:val="00B768D7"/>
    <w:rsid w:val="00B778A3"/>
    <w:rsid w:val="00B809F3"/>
    <w:rsid w:val="00B80B6B"/>
    <w:rsid w:val="00B85932"/>
    <w:rsid w:val="00B859E0"/>
    <w:rsid w:val="00B87588"/>
    <w:rsid w:val="00B92474"/>
    <w:rsid w:val="00B94B26"/>
    <w:rsid w:val="00BA0C4D"/>
    <w:rsid w:val="00BA2419"/>
    <w:rsid w:val="00BA2A8C"/>
    <w:rsid w:val="00BA5A9F"/>
    <w:rsid w:val="00BB0F2F"/>
    <w:rsid w:val="00BB1C66"/>
    <w:rsid w:val="00BB4626"/>
    <w:rsid w:val="00BB524D"/>
    <w:rsid w:val="00BB5385"/>
    <w:rsid w:val="00BB5653"/>
    <w:rsid w:val="00BB6E3C"/>
    <w:rsid w:val="00BC133D"/>
    <w:rsid w:val="00BC3E9C"/>
    <w:rsid w:val="00BC4074"/>
    <w:rsid w:val="00BC4AF5"/>
    <w:rsid w:val="00BC5AA5"/>
    <w:rsid w:val="00BC6362"/>
    <w:rsid w:val="00BC6636"/>
    <w:rsid w:val="00BC7404"/>
    <w:rsid w:val="00BC7CC2"/>
    <w:rsid w:val="00BD049F"/>
    <w:rsid w:val="00BD0E9D"/>
    <w:rsid w:val="00BD218A"/>
    <w:rsid w:val="00BD2F82"/>
    <w:rsid w:val="00BD399A"/>
    <w:rsid w:val="00BD557E"/>
    <w:rsid w:val="00BD5B18"/>
    <w:rsid w:val="00BD5F64"/>
    <w:rsid w:val="00BD6EB6"/>
    <w:rsid w:val="00BE0201"/>
    <w:rsid w:val="00BE17F9"/>
    <w:rsid w:val="00BE3232"/>
    <w:rsid w:val="00BE520C"/>
    <w:rsid w:val="00BF16AD"/>
    <w:rsid w:val="00BF2C8B"/>
    <w:rsid w:val="00BF3105"/>
    <w:rsid w:val="00BF34A7"/>
    <w:rsid w:val="00BF3B14"/>
    <w:rsid w:val="00BF54FE"/>
    <w:rsid w:val="00BF6218"/>
    <w:rsid w:val="00BF74E5"/>
    <w:rsid w:val="00C00EA2"/>
    <w:rsid w:val="00C011EE"/>
    <w:rsid w:val="00C02535"/>
    <w:rsid w:val="00C031CE"/>
    <w:rsid w:val="00C0352A"/>
    <w:rsid w:val="00C0425B"/>
    <w:rsid w:val="00C04E36"/>
    <w:rsid w:val="00C05811"/>
    <w:rsid w:val="00C1015B"/>
    <w:rsid w:val="00C103A1"/>
    <w:rsid w:val="00C10A10"/>
    <w:rsid w:val="00C10D6A"/>
    <w:rsid w:val="00C10EC0"/>
    <w:rsid w:val="00C13B9C"/>
    <w:rsid w:val="00C14063"/>
    <w:rsid w:val="00C15102"/>
    <w:rsid w:val="00C15A56"/>
    <w:rsid w:val="00C17A69"/>
    <w:rsid w:val="00C22F0A"/>
    <w:rsid w:val="00C2325B"/>
    <w:rsid w:val="00C25B1C"/>
    <w:rsid w:val="00C26299"/>
    <w:rsid w:val="00C311E4"/>
    <w:rsid w:val="00C322BB"/>
    <w:rsid w:val="00C33540"/>
    <w:rsid w:val="00C350F2"/>
    <w:rsid w:val="00C35B73"/>
    <w:rsid w:val="00C35B8F"/>
    <w:rsid w:val="00C35FBE"/>
    <w:rsid w:val="00C40E59"/>
    <w:rsid w:val="00C418BF"/>
    <w:rsid w:val="00C4258F"/>
    <w:rsid w:val="00C44562"/>
    <w:rsid w:val="00C44EA0"/>
    <w:rsid w:val="00C453FB"/>
    <w:rsid w:val="00C46B50"/>
    <w:rsid w:val="00C50166"/>
    <w:rsid w:val="00C502FF"/>
    <w:rsid w:val="00C519E3"/>
    <w:rsid w:val="00C52A26"/>
    <w:rsid w:val="00C55BED"/>
    <w:rsid w:val="00C55D03"/>
    <w:rsid w:val="00C55F3E"/>
    <w:rsid w:val="00C57311"/>
    <w:rsid w:val="00C60217"/>
    <w:rsid w:val="00C614A9"/>
    <w:rsid w:val="00C61929"/>
    <w:rsid w:val="00C62205"/>
    <w:rsid w:val="00C62CDA"/>
    <w:rsid w:val="00C62E71"/>
    <w:rsid w:val="00C63059"/>
    <w:rsid w:val="00C631FE"/>
    <w:rsid w:val="00C63C08"/>
    <w:rsid w:val="00C66CCC"/>
    <w:rsid w:val="00C676A4"/>
    <w:rsid w:val="00C67789"/>
    <w:rsid w:val="00C700B6"/>
    <w:rsid w:val="00C713F9"/>
    <w:rsid w:val="00C7182A"/>
    <w:rsid w:val="00C72659"/>
    <w:rsid w:val="00C72CDB"/>
    <w:rsid w:val="00C734AC"/>
    <w:rsid w:val="00C73BD7"/>
    <w:rsid w:val="00C80CAC"/>
    <w:rsid w:val="00C8516B"/>
    <w:rsid w:val="00C85B81"/>
    <w:rsid w:val="00C861E6"/>
    <w:rsid w:val="00C93F76"/>
    <w:rsid w:val="00C948E9"/>
    <w:rsid w:val="00C9655A"/>
    <w:rsid w:val="00C96FCA"/>
    <w:rsid w:val="00C9754D"/>
    <w:rsid w:val="00C975DF"/>
    <w:rsid w:val="00C9764B"/>
    <w:rsid w:val="00CA36DF"/>
    <w:rsid w:val="00CA42F8"/>
    <w:rsid w:val="00CA5D84"/>
    <w:rsid w:val="00CB1AC1"/>
    <w:rsid w:val="00CC1960"/>
    <w:rsid w:val="00CC21DD"/>
    <w:rsid w:val="00CE14DE"/>
    <w:rsid w:val="00CE1CF3"/>
    <w:rsid w:val="00CE70F3"/>
    <w:rsid w:val="00CE7659"/>
    <w:rsid w:val="00CF0E18"/>
    <w:rsid w:val="00CF29A4"/>
    <w:rsid w:val="00CF2F2E"/>
    <w:rsid w:val="00CF624D"/>
    <w:rsid w:val="00CF6E34"/>
    <w:rsid w:val="00CF7378"/>
    <w:rsid w:val="00D02615"/>
    <w:rsid w:val="00D02991"/>
    <w:rsid w:val="00D04936"/>
    <w:rsid w:val="00D04C74"/>
    <w:rsid w:val="00D066D9"/>
    <w:rsid w:val="00D076EF"/>
    <w:rsid w:val="00D108C5"/>
    <w:rsid w:val="00D10D7A"/>
    <w:rsid w:val="00D1187F"/>
    <w:rsid w:val="00D11C2D"/>
    <w:rsid w:val="00D15162"/>
    <w:rsid w:val="00D1618D"/>
    <w:rsid w:val="00D167B1"/>
    <w:rsid w:val="00D16D1B"/>
    <w:rsid w:val="00D200E4"/>
    <w:rsid w:val="00D21F66"/>
    <w:rsid w:val="00D23B5E"/>
    <w:rsid w:val="00D24706"/>
    <w:rsid w:val="00D24B66"/>
    <w:rsid w:val="00D24C22"/>
    <w:rsid w:val="00D25F57"/>
    <w:rsid w:val="00D261EC"/>
    <w:rsid w:val="00D31492"/>
    <w:rsid w:val="00D3478B"/>
    <w:rsid w:val="00D35E12"/>
    <w:rsid w:val="00D40DCC"/>
    <w:rsid w:val="00D413DD"/>
    <w:rsid w:val="00D4189D"/>
    <w:rsid w:val="00D424E3"/>
    <w:rsid w:val="00D42604"/>
    <w:rsid w:val="00D42A30"/>
    <w:rsid w:val="00D43436"/>
    <w:rsid w:val="00D4389A"/>
    <w:rsid w:val="00D4436A"/>
    <w:rsid w:val="00D45380"/>
    <w:rsid w:val="00D45829"/>
    <w:rsid w:val="00D45DEF"/>
    <w:rsid w:val="00D45FB7"/>
    <w:rsid w:val="00D46347"/>
    <w:rsid w:val="00D4639D"/>
    <w:rsid w:val="00D46954"/>
    <w:rsid w:val="00D51211"/>
    <w:rsid w:val="00D51E72"/>
    <w:rsid w:val="00D54DBC"/>
    <w:rsid w:val="00D570F3"/>
    <w:rsid w:val="00D57249"/>
    <w:rsid w:val="00D61C85"/>
    <w:rsid w:val="00D624E5"/>
    <w:rsid w:val="00D634A8"/>
    <w:rsid w:val="00D64C3D"/>
    <w:rsid w:val="00D65A1C"/>
    <w:rsid w:val="00D67099"/>
    <w:rsid w:val="00D71939"/>
    <w:rsid w:val="00D72D27"/>
    <w:rsid w:val="00D732C6"/>
    <w:rsid w:val="00D73317"/>
    <w:rsid w:val="00D743C8"/>
    <w:rsid w:val="00D743DA"/>
    <w:rsid w:val="00D744B5"/>
    <w:rsid w:val="00D745B1"/>
    <w:rsid w:val="00D753F3"/>
    <w:rsid w:val="00D865D8"/>
    <w:rsid w:val="00D9045B"/>
    <w:rsid w:val="00D90EA9"/>
    <w:rsid w:val="00D90F77"/>
    <w:rsid w:val="00D941C3"/>
    <w:rsid w:val="00D94A99"/>
    <w:rsid w:val="00D95324"/>
    <w:rsid w:val="00DA0390"/>
    <w:rsid w:val="00DA1940"/>
    <w:rsid w:val="00DA3C3C"/>
    <w:rsid w:val="00DA544C"/>
    <w:rsid w:val="00DA612F"/>
    <w:rsid w:val="00DB05EC"/>
    <w:rsid w:val="00DB166E"/>
    <w:rsid w:val="00DB3D8C"/>
    <w:rsid w:val="00DB3F2B"/>
    <w:rsid w:val="00DB43B8"/>
    <w:rsid w:val="00DB7BD1"/>
    <w:rsid w:val="00DB7C8A"/>
    <w:rsid w:val="00DB7F63"/>
    <w:rsid w:val="00DC2DC5"/>
    <w:rsid w:val="00DC6E63"/>
    <w:rsid w:val="00DD11E8"/>
    <w:rsid w:val="00DD251B"/>
    <w:rsid w:val="00DD35E7"/>
    <w:rsid w:val="00DD5486"/>
    <w:rsid w:val="00DD650E"/>
    <w:rsid w:val="00DD697A"/>
    <w:rsid w:val="00DD7968"/>
    <w:rsid w:val="00DE0B7E"/>
    <w:rsid w:val="00DE1418"/>
    <w:rsid w:val="00DE2205"/>
    <w:rsid w:val="00DE421E"/>
    <w:rsid w:val="00DE5454"/>
    <w:rsid w:val="00DE7ADC"/>
    <w:rsid w:val="00DE7B27"/>
    <w:rsid w:val="00DE7F41"/>
    <w:rsid w:val="00DF023B"/>
    <w:rsid w:val="00DF0F50"/>
    <w:rsid w:val="00DF22F6"/>
    <w:rsid w:val="00DF2309"/>
    <w:rsid w:val="00DF28DC"/>
    <w:rsid w:val="00DF3915"/>
    <w:rsid w:val="00DF44AC"/>
    <w:rsid w:val="00DF4CE2"/>
    <w:rsid w:val="00E0168F"/>
    <w:rsid w:val="00E0169D"/>
    <w:rsid w:val="00E12071"/>
    <w:rsid w:val="00E12660"/>
    <w:rsid w:val="00E12838"/>
    <w:rsid w:val="00E150EE"/>
    <w:rsid w:val="00E15BBF"/>
    <w:rsid w:val="00E15ECD"/>
    <w:rsid w:val="00E1645E"/>
    <w:rsid w:val="00E22D12"/>
    <w:rsid w:val="00E23F00"/>
    <w:rsid w:val="00E26A0F"/>
    <w:rsid w:val="00E27542"/>
    <w:rsid w:val="00E277B3"/>
    <w:rsid w:val="00E318D4"/>
    <w:rsid w:val="00E339EE"/>
    <w:rsid w:val="00E3557A"/>
    <w:rsid w:val="00E37524"/>
    <w:rsid w:val="00E4014C"/>
    <w:rsid w:val="00E401FC"/>
    <w:rsid w:val="00E42D1B"/>
    <w:rsid w:val="00E45579"/>
    <w:rsid w:val="00E466AD"/>
    <w:rsid w:val="00E46FAB"/>
    <w:rsid w:val="00E474DC"/>
    <w:rsid w:val="00E5240D"/>
    <w:rsid w:val="00E55EA9"/>
    <w:rsid w:val="00E56307"/>
    <w:rsid w:val="00E56D55"/>
    <w:rsid w:val="00E56F52"/>
    <w:rsid w:val="00E57F76"/>
    <w:rsid w:val="00E60696"/>
    <w:rsid w:val="00E62028"/>
    <w:rsid w:val="00E6393C"/>
    <w:rsid w:val="00E64A7D"/>
    <w:rsid w:val="00E67E51"/>
    <w:rsid w:val="00E76BE0"/>
    <w:rsid w:val="00E7790B"/>
    <w:rsid w:val="00E81714"/>
    <w:rsid w:val="00E830CB"/>
    <w:rsid w:val="00E83F79"/>
    <w:rsid w:val="00E851F1"/>
    <w:rsid w:val="00E869ED"/>
    <w:rsid w:val="00E873C0"/>
    <w:rsid w:val="00E91546"/>
    <w:rsid w:val="00E91678"/>
    <w:rsid w:val="00E9206E"/>
    <w:rsid w:val="00E92D7B"/>
    <w:rsid w:val="00E93438"/>
    <w:rsid w:val="00E93F64"/>
    <w:rsid w:val="00E946CE"/>
    <w:rsid w:val="00E96737"/>
    <w:rsid w:val="00EA0668"/>
    <w:rsid w:val="00EA1F53"/>
    <w:rsid w:val="00EA20EF"/>
    <w:rsid w:val="00EA4376"/>
    <w:rsid w:val="00EA70DC"/>
    <w:rsid w:val="00EB01FF"/>
    <w:rsid w:val="00EB06C6"/>
    <w:rsid w:val="00EB1B47"/>
    <w:rsid w:val="00EB46E1"/>
    <w:rsid w:val="00EB7BD6"/>
    <w:rsid w:val="00EC0E7E"/>
    <w:rsid w:val="00EC20FD"/>
    <w:rsid w:val="00EC2EF8"/>
    <w:rsid w:val="00EC3DAC"/>
    <w:rsid w:val="00EC42FF"/>
    <w:rsid w:val="00EC50B5"/>
    <w:rsid w:val="00EC5A73"/>
    <w:rsid w:val="00ED2403"/>
    <w:rsid w:val="00ED26B3"/>
    <w:rsid w:val="00ED3B7C"/>
    <w:rsid w:val="00ED3D0C"/>
    <w:rsid w:val="00ED4AEF"/>
    <w:rsid w:val="00ED570E"/>
    <w:rsid w:val="00ED5CFE"/>
    <w:rsid w:val="00EE005A"/>
    <w:rsid w:val="00EE05CF"/>
    <w:rsid w:val="00EE10AE"/>
    <w:rsid w:val="00EE2DA2"/>
    <w:rsid w:val="00EE4290"/>
    <w:rsid w:val="00EE589E"/>
    <w:rsid w:val="00EE5A23"/>
    <w:rsid w:val="00EE76D0"/>
    <w:rsid w:val="00EF0F54"/>
    <w:rsid w:val="00EF1185"/>
    <w:rsid w:val="00EF4996"/>
    <w:rsid w:val="00EF754D"/>
    <w:rsid w:val="00F027E9"/>
    <w:rsid w:val="00F0775E"/>
    <w:rsid w:val="00F1011B"/>
    <w:rsid w:val="00F11E69"/>
    <w:rsid w:val="00F15F69"/>
    <w:rsid w:val="00F1612D"/>
    <w:rsid w:val="00F173DD"/>
    <w:rsid w:val="00F21119"/>
    <w:rsid w:val="00F22744"/>
    <w:rsid w:val="00F25164"/>
    <w:rsid w:val="00F277D3"/>
    <w:rsid w:val="00F30997"/>
    <w:rsid w:val="00F32896"/>
    <w:rsid w:val="00F41AE7"/>
    <w:rsid w:val="00F41F44"/>
    <w:rsid w:val="00F42050"/>
    <w:rsid w:val="00F42D17"/>
    <w:rsid w:val="00F457A0"/>
    <w:rsid w:val="00F46492"/>
    <w:rsid w:val="00F477B5"/>
    <w:rsid w:val="00F47B01"/>
    <w:rsid w:val="00F5057E"/>
    <w:rsid w:val="00F53410"/>
    <w:rsid w:val="00F541F8"/>
    <w:rsid w:val="00F5470A"/>
    <w:rsid w:val="00F551E6"/>
    <w:rsid w:val="00F5540C"/>
    <w:rsid w:val="00F5563D"/>
    <w:rsid w:val="00F56891"/>
    <w:rsid w:val="00F63345"/>
    <w:rsid w:val="00F63E20"/>
    <w:rsid w:val="00F64CD4"/>
    <w:rsid w:val="00F650D2"/>
    <w:rsid w:val="00F65AB2"/>
    <w:rsid w:val="00F73E78"/>
    <w:rsid w:val="00F740C2"/>
    <w:rsid w:val="00F7591E"/>
    <w:rsid w:val="00F75EF9"/>
    <w:rsid w:val="00F77A9B"/>
    <w:rsid w:val="00F83035"/>
    <w:rsid w:val="00F866B0"/>
    <w:rsid w:val="00F869EF"/>
    <w:rsid w:val="00F86BE4"/>
    <w:rsid w:val="00F86C7B"/>
    <w:rsid w:val="00F86D61"/>
    <w:rsid w:val="00F8760C"/>
    <w:rsid w:val="00F905B6"/>
    <w:rsid w:val="00F90B31"/>
    <w:rsid w:val="00F914B2"/>
    <w:rsid w:val="00F926B9"/>
    <w:rsid w:val="00F93160"/>
    <w:rsid w:val="00F9541D"/>
    <w:rsid w:val="00F96DEB"/>
    <w:rsid w:val="00F97A43"/>
    <w:rsid w:val="00FA0403"/>
    <w:rsid w:val="00FA597D"/>
    <w:rsid w:val="00FA5B9A"/>
    <w:rsid w:val="00FB01B9"/>
    <w:rsid w:val="00FB5D9E"/>
    <w:rsid w:val="00FB763A"/>
    <w:rsid w:val="00FB79C0"/>
    <w:rsid w:val="00FC2EB8"/>
    <w:rsid w:val="00FC5C43"/>
    <w:rsid w:val="00FC7927"/>
    <w:rsid w:val="00FD1598"/>
    <w:rsid w:val="00FD1AD5"/>
    <w:rsid w:val="00FD3100"/>
    <w:rsid w:val="00FD576E"/>
    <w:rsid w:val="00FD596B"/>
    <w:rsid w:val="00FD5E90"/>
    <w:rsid w:val="00FE0F98"/>
    <w:rsid w:val="00FE58CC"/>
    <w:rsid w:val="00FE67C1"/>
    <w:rsid w:val="00FE75A9"/>
    <w:rsid w:val="00FF0318"/>
    <w:rsid w:val="00FF058D"/>
    <w:rsid w:val="00FF0A50"/>
    <w:rsid w:val="00FF1D8E"/>
    <w:rsid w:val="00FF2276"/>
    <w:rsid w:val="00FF2440"/>
    <w:rsid w:val="00FF322C"/>
    <w:rsid w:val="00FF5EE0"/>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2AB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Batang" w:hAnsi="Times New Roman" w:cs="Times New Roman"/>
        <w:lang w:val="en"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546"/>
    <w:rPr>
      <w:lang w:eastAsia="en-US"/>
    </w:rPr>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link w:val="Heading2Char"/>
    <w:uiPriority w:val="99"/>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eastAsia="pl-PL"/>
    </w:rPr>
  </w:style>
  <w:style w:type="paragraph" w:styleId="Heading9">
    <w:name w:val="heading 9"/>
    <w:basedOn w:val="Normal"/>
    <w:next w:val="Normal"/>
    <w:qFormat/>
    <w:rsid w:val="00097958"/>
    <w:pPr>
      <w:keepNext/>
      <w:ind w:right="-4041"/>
      <w:outlineLvl w:val="8"/>
    </w:pPr>
    <w:rPr>
      <w:b/>
      <w:bCs/>
      <w:lang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style>
  <w:style w:type="paragraph" w:styleId="BodyTextIndent2">
    <w:name w:val="Body Text Indent 2"/>
    <w:basedOn w:val="Normal"/>
    <w:rsid w:val="00C15A56"/>
    <w:pPr>
      <w:spacing w:after="120" w:line="480" w:lineRule="auto"/>
      <w:ind w:left="360"/>
    </w:pPr>
  </w:style>
  <w:style w:type="paragraph" w:styleId="BodyText">
    <w:name w:val="Body Text"/>
    <w:basedOn w:val="Normal"/>
    <w:link w:val="BodyTextChar"/>
    <w:uiPriority w:val="99"/>
    <w:rsid w:val="00C15A56"/>
    <w:pPr>
      <w:spacing w:after="120"/>
    </w:pPr>
    <w:rPr>
      <w:lang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uiPriority w:val="99"/>
    <w:semiHidden/>
    <w:rsid w:val="00FA0403"/>
    <w:rPr>
      <w:vertAlign w:val="superscript"/>
    </w:rPr>
  </w:style>
  <w:style w:type="paragraph" w:styleId="FootnoteText">
    <w:name w:val="footnote text"/>
    <w:basedOn w:val="Normal"/>
    <w:link w:val="FootnoteTextChar"/>
    <w:uiPriority w:val="99"/>
    <w:rsid w:val="00FA0403"/>
    <w:rPr>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eastAsia="en-US"/>
    </w:rPr>
  </w:style>
  <w:style w:type="paragraph" w:customStyle="1" w:styleId="SectionTitle">
    <w:name w:val="Section Title"/>
    <w:basedOn w:val="Normal"/>
    <w:autoRedefine/>
    <w:rsid w:val="00771A7C"/>
    <w:pPr>
      <w:snapToGrid w:val="0"/>
      <w:jc w:val="both"/>
    </w:pPr>
    <w:rPr>
      <w:rFonts w:eastAsia="MS Mincho" w:cs="Angsana New"/>
      <w:lang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rPr>
  </w:style>
  <w:style w:type="character" w:customStyle="1" w:styleId="Style10ptJustifiedChar">
    <w:name w:val="Style 10 pt Justified Char"/>
    <w:link w:val="Style10ptJustified"/>
    <w:rsid w:val="00353885"/>
    <w:rPr>
      <w:rFonts w:ascii="Arial" w:eastAsia="MS Mincho" w:hAnsi="Arial" w:cs="Arial"/>
      <w:iCs/>
      <w:lang w:val="en" w:eastAsia="en-US" w:bidi="ar-SA"/>
    </w:rPr>
  </w:style>
  <w:style w:type="paragraph" w:customStyle="1" w:styleId="paperbody">
    <w:name w:val="paper body"/>
    <w:basedOn w:val="Normal"/>
    <w:rsid w:val="00097958"/>
    <w:pPr>
      <w:jc w:val="both"/>
    </w:pPr>
    <w:rPr>
      <w:sz w:val="24"/>
      <w:szCs w:val="24"/>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 w:eastAsia="en-US"/>
    </w:rPr>
  </w:style>
  <w:style w:type="paragraph" w:styleId="Subtitle">
    <w:name w:val="Subtitle"/>
    <w:basedOn w:val="Normal"/>
    <w:qFormat/>
    <w:rsid w:val="00097958"/>
    <w:pPr>
      <w:jc w:val="center"/>
    </w:pPr>
    <w:rPr>
      <w:b/>
      <w:bCs/>
      <w:sz w:val="32"/>
      <w:szCs w:val="32"/>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eastAsia="pl-PL"/>
    </w:rPr>
  </w:style>
  <w:style w:type="paragraph" w:customStyle="1" w:styleId="Text">
    <w:name w:val="Text"/>
    <w:basedOn w:val="Normal"/>
    <w:rsid w:val="00097958"/>
    <w:pPr>
      <w:widowControl w:val="0"/>
      <w:autoSpaceDE w:val="0"/>
      <w:autoSpaceDN w:val="0"/>
      <w:spacing w:line="252" w:lineRule="auto"/>
      <w:ind w:firstLine="202"/>
      <w:jc w:val="both"/>
    </w:pPr>
    <w:rPr>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lang w:eastAsia="en-US"/>
    </w:rPr>
  </w:style>
  <w:style w:type="paragraph" w:customStyle="1" w:styleId="Affiliation">
    <w:name w:val="Affiliation"/>
    <w:rsid w:val="007017C6"/>
    <w:pPr>
      <w:jc w:val="center"/>
    </w:pPr>
    <w:rPr>
      <w:rFonts w:eastAsia="SimSun"/>
      <w:lang w:eastAsia="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eastAsia="en-US"/>
    </w:rPr>
  </w:style>
  <w:style w:type="paragraph" w:customStyle="1" w:styleId="papertitle">
    <w:name w:val="paper title"/>
    <w:rsid w:val="007017C6"/>
    <w:pPr>
      <w:spacing w:after="120"/>
      <w:jc w:val="center"/>
    </w:pPr>
    <w:rPr>
      <w:rFonts w:eastAsia="SimSun"/>
      <w:sz w:val="48"/>
      <w:lang w:eastAsia="en-US"/>
    </w:rPr>
  </w:style>
  <w:style w:type="paragraph" w:customStyle="1" w:styleId="references">
    <w:name w:val="references"/>
    <w:rsid w:val="007017C6"/>
    <w:pPr>
      <w:numPr>
        <w:numId w:val="2"/>
      </w:numPr>
      <w:spacing w:after="40" w:line="180" w:lineRule="exact"/>
      <w:jc w:val="both"/>
    </w:pPr>
    <w:rPr>
      <w:rFonts w:eastAsia="SimSun"/>
      <w:sz w:val="16"/>
      <w:lang w:eastAsia="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uiPriority w:val="99"/>
    <w:rsid w:val="007017C6"/>
    <w:pPr>
      <w:jc w:val="both"/>
    </w:pPr>
    <w:rPr>
      <w:rFonts w:eastAsia="SimSun"/>
      <w:sz w:val="16"/>
      <w:lang w:eastAsia="en-US"/>
    </w:rPr>
  </w:style>
  <w:style w:type="paragraph" w:customStyle="1" w:styleId="tablehead">
    <w:name w:val="table head"/>
    <w:uiPriority w:val="99"/>
    <w:rsid w:val="007017C6"/>
    <w:pPr>
      <w:numPr>
        <w:numId w:val="3"/>
      </w:numPr>
      <w:spacing w:before="240" w:after="120" w:line="216" w:lineRule="auto"/>
      <w:jc w:val="center"/>
    </w:pPr>
    <w:rPr>
      <w:rFonts w:eastAsia="SimSun"/>
      <w:smallCaps/>
      <w:sz w:val="16"/>
      <w:lang w:eastAsia="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uiPriority w:val="34"/>
    <w:qFormat/>
    <w:rsid w:val="00C35B8F"/>
    <w:pPr>
      <w:spacing w:after="200" w:line="276" w:lineRule="auto"/>
      <w:ind w:left="720"/>
      <w:contextualSpacing/>
    </w:pPr>
    <w:rPr>
      <w:rFonts w:ascii="Calibri" w:hAnsi="Calibri"/>
      <w:sz w:val="22"/>
      <w:szCs w:val="22"/>
      <w:lang w:eastAsia="en-GB"/>
    </w:rPr>
  </w:style>
  <w:style w:type="paragraph" w:styleId="NoSpacing">
    <w:name w:val="No Spacing"/>
    <w:qFormat/>
    <w:rsid w:val="00C35B8F"/>
    <w:rPr>
      <w:rFonts w:ascii="Calibri" w:eastAsia="Calibri" w:hAnsi="Calibri"/>
      <w:sz w:val="22"/>
      <w:szCs w:val="22"/>
      <w:lang w:eastAsia="en-US"/>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styleId="FollowedHyperlink">
    <w:name w:val="FollowedHyperlink"/>
    <w:uiPriority w:val="99"/>
    <w:semiHidden/>
    <w:unhideWhenUsed/>
    <w:rsid w:val="00D02991"/>
    <w:rPr>
      <w:color w:val="800080"/>
      <w:u w:val="single"/>
    </w:rPr>
  </w:style>
  <w:style w:type="character" w:styleId="CommentReference">
    <w:name w:val="annotation reference"/>
    <w:uiPriority w:val="99"/>
    <w:semiHidden/>
    <w:unhideWhenUsed/>
    <w:rsid w:val="002E7D48"/>
    <w:rPr>
      <w:sz w:val="16"/>
      <w:szCs w:val="16"/>
    </w:rPr>
  </w:style>
  <w:style w:type="paragraph" w:styleId="CommentText">
    <w:name w:val="annotation text"/>
    <w:basedOn w:val="Normal"/>
    <w:link w:val="CommentTextChar"/>
    <w:uiPriority w:val="99"/>
    <w:semiHidden/>
    <w:unhideWhenUsed/>
    <w:rsid w:val="002E7D48"/>
  </w:style>
  <w:style w:type="character" w:customStyle="1" w:styleId="CommentTextChar">
    <w:name w:val="Comment Text Char"/>
    <w:link w:val="CommentText"/>
    <w:uiPriority w:val="99"/>
    <w:semiHidden/>
    <w:rsid w:val="002E7D48"/>
    <w:rPr>
      <w:lang w:val="en" w:eastAsia="en-US"/>
    </w:rPr>
  </w:style>
  <w:style w:type="paragraph" w:styleId="CommentSubject">
    <w:name w:val="annotation subject"/>
    <w:basedOn w:val="CommentText"/>
    <w:next w:val="CommentText"/>
    <w:link w:val="CommentSubjectChar"/>
    <w:uiPriority w:val="99"/>
    <w:semiHidden/>
    <w:unhideWhenUsed/>
    <w:rsid w:val="002E7D48"/>
    <w:rPr>
      <w:b/>
      <w:bCs/>
    </w:rPr>
  </w:style>
  <w:style w:type="character" w:customStyle="1" w:styleId="CommentSubjectChar">
    <w:name w:val="Comment Subject Char"/>
    <w:link w:val="CommentSubject"/>
    <w:uiPriority w:val="99"/>
    <w:semiHidden/>
    <w:rsid w:val="002E7D48"/>
    <w:rPr>
      <w:b/>
      <w:bCs/>
      <w:lang w:val="en" w:eastAsia="en-US"/>
    </w:rPr>
  </w:style>
  <w:style w:type="character" w:customStyle="1" w:styleId="FootnoteTextChar">
    <w:name w:val="Footnote Text Char"/>
    <w:link w:val="FootnoteText"/>
    <w:uiPriority w:val="99"/>
    <w:rsid w:val="00A511E6"/>
    <w:rPr>
      <w:rFonts w:cs="Traditional Arabic"/>
      <w:lang w:val="en" w:eastAsia="ko-KR"/>
    </w:rPr>
  </w:style>
  <w:style w:type="character" w:customStyle="1" w:styleId="FooterChar">
    <w:name w:val="Footer Char"/>
    <w:link w:val="Footer"/>
    <w:uiPriority w:val="99"/>
    <w:rsid w:val="007306AF"/>
    <w:rPr>
      <w:lang w:val="en" w:eastAsia="en-US"/>
    </w:rPr>
  </w:style>
  <w:style w:type="character" w:customStyle="1" w:styleId="HeaderChar">
    <w:name w:val="Header Char"/>
    <w:link w:val="Header"/>
    <w:uiPriority w:val="99"/>
    <w:rsid w:val="00EA20EF"/>
    <w:rPr>
      <w:lang w:val="en" w:eastAsia="en-US"/>
    </w:rPr>
  </w:style>
  <w:style w:type="character" w:customStyle="1" w:styleId="UnresolvedMention">
    <w:name w:val="Unresolved Mention"/>
    <w:uiPriority w:val="99"/>
    <w:semiHidden/>
    <w:unhideWhenUsed/>
    <w:rsid w:val="007637F6"/>
    <w:rPr>
      <w:color w:val="808080"/>
      <w:shd w:val="clear" w:color="auto" w:fill="E6E6E6"/>
    </w:rPr>
  </w:style>
  <w:style w:type="character" w:customStyle="1" w:styleId="Heading2Char">
    <w:name w:val="Heading 2 Char"/>
    <w:link w:val="Heading2"/>
    <w:uiPriority w:val="99"/>
    <w:rsid w:val="00B56D4F"/>
    <w:rPr>
      <w:rFonts w:ascii="Arial" w:hAnsi="Arial" w:cs="Arial"/>
      <w:b/>
      <w:bCs/>
      <w:i/>
      <w:iCs/>
      <w:sz w:val="28"/>
      <w:szCs w:val="28"/>
      <w:lang w:val="en" w:eastAsia="en-US"/>
    </w:rPr>
  </w:style>
  <w:style w:type="character" w:customStyle="1" w:styleId="BodyTextChar">
    <w:name w:val="Body Text Char"/>
    <w:link w:val="BodyText"/>
    <w:uiPriority w:val="99"/>
    <w:rsid w:val="00B56D4F"/>
  </w:style>
  <w:style w:type="paragraph" w:customStyle="1" w:styleId="bulletlist">
    <w:name w:val="bullet list"/>
    <w:basedOn w:val="BodyText"/>
    <w:rsid w:val="00B56D4F"/>
    <w:pPr>
      <w:numPr>
        <w:numId w:val="42"/>
      </w:numPr>
      <w:tabs>
        <w:tab w:val="clear" w:pos="648"/>
        <w:tab w:val="left" w:pos="288"/>
      </w:tabs>
      <w:spacing w:line="228" w:lineRule="auto"/>
      <w:ind w:left="576" w:hanging="288"/>
      <w:jc w:val="both"/>
    </w:pPr>
    <w:rPr>
      <w:rFonts w:ascii="Palatino Linotype" w:eastAsia="MS Mincho" w:hAnsi="Palatino Linotype"/>
      <w:spacing w:val="-1"/>
      <w:sz w:val="22"/>
      <w:lang w:eastAsia="en-US"/>
    </w:rPr>
  </w:style>
  <w:style w:type="paragraph" w:customStyle="1" w:styleId="tablecolhead">
    <w:name w:val="table col head"/>
    <w:basedOn w:val="Normal"/>
    <w:uiPriority w:val="99"/>
    <w:rsid w:val="00B56D4F"/>
    <w:pPr>
      <w:jc w:val="center"/>
    </w:pPr>
    <w:rPr>
      <w:rFonts w:ascii="Junicode" w:eastAsia="Times New Roman" w:hAnsi="Junicode"/>
      <w:b/>
      <w:bCs/>
      <w:szCs w:val="16"/>
    </w:rPr>
  </w:style>
  <w:style w:type="numbering" w:customStyle="1" w:styleId="Style1">
    <w:name w:val="Style1"/>
    <w:uiPriority w:val="99"/>
    <w:rsid w:val="00B56D4F"/>
    <w:pPr>
      <w:numPr>
        <w:numId w:val="4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Batang" w:hAnsi="Times New Roman" w:cs="Times New Roman"/>
        <w:lang w:val="en"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546"/>
    <w:rPr>
      <w:lang w:eastAsia="en-US"/>
    </w:rPr>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link w:val="Heading2Char"/>
    <w:uiPriority w:val="99"/>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eastAsia="pl-PL"/>
    </w:rPr>
  </w:style>
  <w:style w:type="paragraph" w:styleId="Heading9">
    <w:name w:val="heading 9"/>
    <w:basedOn w:val="Normal"/>
    <w:next w:val="Normal"/>
    <w:qFormat/>
    <w:rsid w:val="00097958"/>
    <w:pPr>
      <w:keepNext/>
      <w:ind w:right="-4041"/>
      <w:outlineLvl w:val="8"/>
    </w:pPr>
    <w:rPr>
      <w:b/>
      <w:bCs/>
      <w:lang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40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style>
  <w:style w:type="paragraph" w:styleId="BodyTextIndent2">
    <w:name w:val="Body Text Indent 2"/>
    <w:basedOn w:val="Normal"/>
    <w:rsid w:val="00C15A56"/>
    <w:pPr>
      <w:spacing w:after="120" w:line="480" w:lineRule="auto"/>
      <w:ind w:left="360"/>
    </w:pPr>
  </w:style>
  <w:style w:type="paragraph" w:styleId="BodyText">
    <w:name w:val="Body Text"/>
    <w:basedOn w:val="Normal"/>
    <w:link w:val="BodyTextChar"/>
    <w:uiPriority w:val="99"/>
    <w:rsid w:val="00C15A56"/>
    <w:pPr>
      <w:spacing w:after="120"/>
    </w:pPr>
    <w:rPr>
      <w:lang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uiPriority w:val="99"/>
    <w:semiHidden/>
    <w:rsid w:val="00FA0403"/>
    <w:rPr>
      <w:vertAlign w:val="superscript"/>
    </w:rPr>
  </w:style>
  <w:style w:type="paragraph" w:styleId="FootnoteText">
    <w:name w:val="footnote text"/>
    <w:basedOn w:val="Normal"/>
    <w:link w:val="FootnoteTextChar"/>
    <w:uiPriority w:val="99"/>
    <w:rsid w:val="00FA0403"/>
    <w:rPr>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eastAsia="en-US"/>
    </w:rPr>
  </w:style>
  <w:style w:type="paragraph" w:customStyle="1" w:styleId="SectionTitle">
    <w:name w:val="Section Title"/>
    <w:basedOn w:val="Normal"/>
    <w:autoRedefine/>
    <w:rsid w:val="00771A7C"/>
    <w:pPr>
      <w:snapToGrid w:val="0"/>
      <w:jc w:val="both"/>
    </w:pPr>
    <w:rPr>
      <w:rFonts w:eastAsia="MS Mincho" w:cs="Angsana New"/>
      <w:lang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rPr>
  </w:style>
  <w:style w:type="character" w:customStyle="1" w:styleId="Style10ptJustifiedChar">
    <w:name w:val="Style 10 pt Justified Char"/>
    <w:link w:val="Style10ptJustified"/>
    <w:rsid w:val="00353885"/>
    <w:rPr>
      <w:rFonts w:ascii="Arial" w:eastAsia="MS Mincho" w:hAnsi="Arial" w:cs="Arial"/>
      <w:iCs/>
      <w:lang w:val="en" w:eastAsia="en-US" w:bidi="ar-SA"/>
    </w:rPr>
  </w:style>
  <w:style w:type="paragraph" w:customStyle="1" w:styleId="paperbody">
    <w:name w:val="paper body"/>
    <w:basedOn w:val="Normal"/>
    <w:rsid w:val="00097958"/>
    <w:pPr>
      <w:jc w:val="both"/>
    </w:pPr>
    <w:rPr>
      <w:sz w:val="24"/>
      <w:szCs w:val="24"/>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 w:eastAsia="en-US"/>
    </w:rPr>
  </w:style>
  <w:style w:type="paragraph" w:styleId="Subtitle">
    <w:name w:val="Subtitle"/>
    <w:basedOn w:val="Normal"/>
    <w:qFormat/>
    <w:rsid w:val="00097958"/>
    <w:pPr>
      <w:jc w:val="center"/>
    </w:pPr>
    <w:rPr>
      <w:b/>
      <w:bCs/>
      <w:sz w:val="32"/>
      <w:szCs w:val="32"/>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eastAsia="pl-PL"/>
    </w:rPr>
  </w:style>
  <w:style w:type="paragraph" w:customStyle="1" w:styleId="Text">
    <w:name w:val="Text"/>
    <w:basedOn w:val="Normal"/>
    <w:rsid w:val="00097958"/>
    <w:pPr>
      <w:widowControl w:val="0"/>
      <w:autoSpaceDE w:val="0"/>
      <w:autoSpaceDN w:val="0"/>
      <w:spacing w:line="252" w:lineRule="auto"/>
      <w:ind w:firstLine="202"/>
      <w:jc w:val="both"/>
    </w:pPr>
    <w:rPr>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uiPriority w:val="22"/>
    <w:qFormat/>
    <w:rsid w:val="00335BE8"/>
    <w:rPr>
      <w:rFonts w:cs="Times New Roman"/>
      <w:b/>
      <w:bCs/>
    </w:rPr>
  </w:style>
  <w:style w:type="paragraph" w:styleId="NormalWeb">
    <w:name w:val="Normal (Web)"/>
    <w:basedOn w:val="Normal"/>
    <w:uiPriority w:val="99"/>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lang w:eastAsia="en-US"/>
    </w:rPr>
  </w:style>
  <w:style w:type="paragraph" w:customStyle="1" w:styleId="Affiliation">
    <w:name w:val="Affiliation"/>
    <w:rsid w:val="007017C6"/>
    <w:pPr>
      <w:jc w:val="center"/>
    </w:pPr>
    <w:rPr>
      <w:rFonts w:eastAsia="SimSun"/>
      <w:lang w:eastAsia="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eastAsia="en-US"/>
    </w:rPr>
  </w:style>
  <w:style w:type="paragraph" w:customStyle="1" w:styleId="papertitle">
    <w:name w:val="paper title"/>
    <w:rsid w:val="007017C6"/>
    <w:pPr>
      <w:spacing w:after="120"/>
      <w:jc w:val="center"/>
    </w:pPr>
    <w:rPr>
      <w:rFonts w:eastAsia="SimSun"/>
      <w:sz w:val="48"/>
      <w:lang w:eastAsia="en-US"/>
    </w:rPr>
  </w:style>
  <w:style w:type="paragraph" w:customStyle="1" w:styleId="references">
    <w:name w:val="references"/>
    <w:rsid w:val="007017C6"/>
    <w:pPr>
      <w:numPr>
        <w:numId w:val="2"/>
      </w:numPr>
      <w:spacing w:after="40" w:line="180" w:lineRule="exact"/>
      <w:jc w:val="both"/>
    </w:pPr>
    <w:rPr>
      <w:rFonts w:eastAsia="SimSun"/>
      <w:sz w:val="16"/>
      <w:lang w:eastAsia="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uiPriority w:val="99"/>
    <w:rsid w:val="007017C6"/>
    <w:pPr>
      <w:jc w:val="both"/>
    </w:pPr>
    <w:rPr>
      <w:rFonts w:eastAsia="SimSun"/>
      <w:sz w:val="16"/>
      <w:lang w:eastAsia="en-US"/>
    </w:rPr>
  </w:style>
  <w:style w:type="paragraph" w:customStyle="1" w:styleId="tablehead">
    <w:name w:val="table head"/>
    <w:uiPriority w:val="99"/>
    <w:rsid w:val="007017C6"/>
    <w:pPr>
      <w:numPr>
        <w:numId w:val="3"/>
      </w:numPr>
      <w:spacing w:before="240" w:after="120" w:line="216" w:lineRule="auto"/>
      <w:jc w:val="center"/>
    </w:pPr>
    <w:rPr>
      <w:rFonts w:eastAsia="SimSun"/>
      <w:smallCaps/>
      <w:sz w:val="16"/>
      <w:lang w:eastAsia="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uiPriority w:val="34"/>
    <w:qFormat/>
    <w:rsid w:val="00C35B8F"/>
    <w:pPr>
      <w:spacing w:after="200" w:line="276" w:lineRule="auto"/>
      <w:ind w:left="720"/>
      <w:contextualSpacing/>
    </w:pPr>
    <w:rPr>
      <w:rFonts w:ascii="Calibri" w:hAnsi="Calibri"/>
      <w:sz w:val="22"/>
      <w:szCs w:val="22"/>
      <w:lang w:eastAsia="en-GB"/>
    </w:rPr>
  </w:style>
  <w:style w:type="paragraph" w:styleId="NoSpacing">
    <w:name w:val="No Spacing"/>
    <w:qFormat/>
    <w:rsid w:val="00C35B8F"/>
    <w:rPr>
      <w:rFonts w:ascii="Calibri" w:eastAsia="Calibri" w:hAnsi="Calibri"/>
      <w:sz w:val="22"/>
      <w:szCs w:val="22"/>
      <w:lang w:eastAsia="en-US"/>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styleId="FollowedHyperlink">
    <w:name w:val="FollowedHyperlink"/>
    <w:uiPriority w:val="99"/>
    <w:semiHidden/>
    <w:unhideWhenUsed/>
    <w:rsid w:val="00D02991"/>
    <w:rPr>
      <w:color w:val="800080"/>
      <w:u w:val="single"/>
    </w:rPr>
  </w:style>
  <w:style w:type="character" w:styleId="CommentReference">
    <w:name w:val="annotation reference"/>
    <w:uiPriority w:val="99"/>
    <w:semiHidden/>
    <w:unhideWhenUsed/>
    <w:rsid w:val="002E7D48"/>
    <w:rPr>
      <w:sz w:val="16"/>
      <w:szCs w:val="16"/>
    </w:rPr>
  </w:style>
  <w:style w:type="paragraph" w:styleId="CommentText">
    <w:name w:val="annotation text"/>
    <w:basedOn w:val="Normal"/>
    <w:link w:val="CommentTextChar"/>
    <w:uiPriority w:val="99"/>
    <w:semiHidden/>
    <w:unhideWhenUsed/>
    <w:rsid w:val="002E7D48"/>
  </w:style>
  <w:style w:type="character" w:customStyle="1" w:styleId="CommentTextChar">
    <w:name w:val="Comment Text Char"/>
    <w:link w:val="CommentText"/>
    <w:uiPriority w:val="99"/>
    <w:semiHidden/>
    <w:rsid w:val="002E7D48"/>
    <w:rPr>
      <w:lang w:val="en" w:eastAsia="en-US"/>
    </w:rPr>
  </w:style>
  <w:style w:type="paragraph" w:styleId="CommentSubject">
    <w:name w:val="annotation subject"/>
    <w:basedOn w:val="CommentText"/>
    <w:next w:val="CommentText"/>
    <w:link w:val="CommentSubjectChar"/>
    <w:uiPriority w:val="99"/>
    <w:semiHidden/>
    <w:unhideWhenUsed/>
    <w:rsid w:val="002E7D48"/>
    <w:rPr>
      <w:b/>
      <w:bCs/>
    </w:rPr>
  </w:style>
  <w:style w:type="character" w:customStyle="1" w:styleId="CommentSubjectChar">
    <w:name w:val="Comment Subject Char"/>
    <w:link w:val="CommentSubject"/>
    <w:uiPriority w:val="99"/>
    <w:semiHidden/>
    <w:rsid w:val="002E7D48"/>
    <w:rPr>
      <w:b/>
      <w:bCs/>
      <w:lang w:val="en" w:eastAsia="en-US"/>
    </w:rPr>
  </w:style>
  <w:style w:type="character" w:customStyle="1" w:styleId="FootnoteTextChar">
    <w:name w:val="Footnote Text Char"/>
    <w:link w:val="FootnoteText"/>
    <w:uiPriority w:val="99"/>
    <w:rsid w:val="00A511E6"/>
    <w:rPr>
      <w:rFonts w:cs="Traditional Arabic"/>
      <w:lang w:val="en" w:eastAsia="ko-KR"/>
    </w:rPr>
  </w:style>
  <w:style w:type="character" w:customStyle="1" w:styleId="FooterChar">
    <w:name w:val="Footer Char"/>
    <w:link w:val="Footer"/>
    <w:uiPriority w:val="99"/>
    <w:rsid w:val="007306AF"/>
    <w:rPr>
      <w:lang w:val="en" w:eastAsia="en-US"/>
    </w:rPr>
  </w:style>
  <w:style w:type="character" w:customStyle="1" w:styleId="HeaderChar">
    <w:name w:val="Header Char"/>
    <w:link w:val="Header"/>
    <w:uiPriority w:val="99"/>
    <w:rsid w:val="00EA20EF"/>
    <w:rPr>
      <w:lang w:val="en" w:eastAsia="en-US"/>
    </w:rPr>
  </w:style>
  <w:style w:type="character" w:customStyle="1" w:styleId="UnresolvedMention">
    <w:name w:val="Unresolved Mention"/>
    <w:uiPriority w:val="99"/>
    <w:semiHidden/>
    <w:unhideWhenUsed/>
    <w:rsid w:val="007637F6"/>
    <w:rPr>
      <w:color w:val="808080"/>
      <w:shd w:val="clear" w:color="auto" w:fill="E6E6E6"/>
    </w:rPr>
  </w:style>
  <w:style w:type="character" w:customStyle="1" w:styleId="Heading2Char">
    <w:name w:val="Heading 2 Char"/>
    <w:link w:val="Heading2"/>
    <w:uiPriority w:val="99"/>
    <w:rsid w:val="00B56D4F"/>
    <w:rPr>
      <w:rFonts w:ascii="Arial" w:hAnsi="Arial" w:cs="Arial"/>
      <w:b/>
      <w:bCs/>
      <w:i/>
      <w:iCs/>
      <w:sz w:val="28"/>
      <w:szCs w:val="28"/>
      <w:lang w:val="en" w:eastAsia="en-US"/>
    </w:rPr>
  </w:style>
  <w:style w:type="character" w:customStyle="1" w:styleId="BodyTextChar">
    <w:name w:val="Body Text Char"/>
    <w:link w:val="BodyText"/>
    <w:uiPriority w:val="99"/>
    <w:rsid w:val="00B56D4F"/>
  </w:style>
  <w:style w:type="paragraph" w:customStyle="1" w:styleId="bulletlist">
    <w:name w:val="bullet list"/>
    <w:basedOn w:val="BodyText"/>
    <w:rsid w:val="00B56D4F"/>
    <w:pPr>
      <w:numPr>
        <w:numId w:val="42"/>
      </w:numPr>
      <w:tabs>
        <w:tab w:val="clear" w:pos="648"/>
        <w:tab w:val="left" w:pos="288"/>
      </w:tabs>
      <w:spacing w:line="228" w:lineRule="auto"/>
      <w:ind w:left="576" w:hanging="288"/>
      <w:jc w:val="both"/>
    </w:pPr>
    <w:rPr>
      <w:rFonts w:ascii="Palatino Linotype" w:eastAsia="MS Mincho" w:hAnsi="Palatino Linotype"/>
      <w:spacing w:val="-1"/>
      <w:sz w:val="22"/>
      <w:lang w:eastAsia="en-US"/>
    </w:rPr>
  </w:style>
  <w:style w:type="paragraph" w:customStyle="1" w:styleId="tablecolhead">
    <w:name w:val="table col head"/>
    <w:basedOn w:val="Normal"/>
    <w:uiPriority w:val="99"/>
    <w:rsid w:val="00B56D4F"/>
    <w:pPr>
      <w:jc w:val="center"/>
    </w:pPr>
    <w:rPr>
      <w:rFonts w:ascii="Junicode" w:eastAsia="Times New Roman" w:hAnsi="Junicode"/>
      <w:b/>
      <w:bCs/>
      <w:szCs w:val="16"/>
    </w:rPr>
  </w:style>
  <w:style w:type="numbering" w:customStyle="1" w:styleId="Style1">
    <w:name w:val="Style1"/>
    <w:uiPriority w:val="99"/>
    <w:rsid w:val="00B56D4F"/>
    <w:pPr>
      <w:numPr>
        <w:numId w:val="4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417484502">
      <w:bodyDiv w:val="1"/>
      <w:marLeft w:val="0"/>
      <w:marRight w:val="0"/>
      <w:marTop w:val="0"/>
      <w:marBottom w:val="0"/>
      <w:divBdr>
        <w:top w:val="none" w:sz="0" w:space="0" w:color="auto"/>
        <w:left w:val="none" w:sz="0" w:space="0" w:color="auto"/>
        <w:bottom w:val="none" w:sz="0" w:space="0" w:color="auto"/>
        <w:right w:val="none" w:sz="0" w:space="0" w:color="auto"/>
      </w:divBdr>
      <w:divsChild>
        <w:div w:id="231425135">
          <w:marLeft w:val="0"/>
          <w:marRight w:val="0"/>
          <w:marTop w:val="0"/>
          <w:marBottom w:val="0"/>
          <w:divBdr>
            <w:top w:val="none" w:sz="0" w:space="0" w:color="auto"/>
            <w:left w:val="none" w:sz="0" w:space="0" w:color="auto"/>
            <w:bottom w:val="none" w:sz="0" w:space="0" w:color="auto"/>
            <w:right w:val="none" w:sz="0" w:space="0" w:color="auto"/>
          </w:divBdr>
        </w:div>
        <w:div w:id="407311407">
          <w:marLeft w:val="0"/>
          <w:marRight w:val="0"/>
          <w:marTop w:val="0"/>
          <w:marBottom w:val="0"/>
          <w:divBdr>
            <w:top w:val="none" w:sz="0" w:space="0" w:color="auto"/>
            <w:left w:val="none" w:sz="0" w:space="0" w:color="auto"/>
            <w:bottom w:val="none" w:sz="0" w:space="0" w:color="auto"/>
            <w:right w:val="none" w:sz="0" w:space="0" w:color="auto"/>
          </w:divBdr>
        </w:div>
        <w:div w:id="868176293">
          <w:marLeft w:val="0"/>
          <w:marRight w:val="0"/>
          <w:marTop w:val="0"/>
          <w:marBottom w:val="0"/>
          <w:divBdr>
            <w:top w:val="none" w:sz="0" w:space="0" w:color="auto"/>
            <w:left w:val="none" w:sz="0" w:space="0" w:color="auto"/>
            <w:bottom w:val="none" w:sz="0" w:space="0" w:color="auto"/>
            <w:right w:val="none" w:sz="0" w:space="0" w:color="auto"/>
          </w:divBdr>
        </w:div>
        <w:div w:id="1378123399">
          <w:marLeft w:val="0"/>
          <w:marRight w:val="0"/>
          <w:marTop w:val="0"/>
          <w:marBottom w:val="0"/>
          <w:divBdr>
            <w:top w:val="none" w:sz="0" w:space="0" w:color="auto"/>
            <w:left w:val="none" w:sz="0" w:space="0" w:color="auto"/>
            <w:bottom w:val="none" w:sz="0" w:space="0" w:color="auto"/>
            <w:right w:val="none" w:sz="0" w:space="0" w:color="auto"/>
          </w:divBdr>
        </w:div>
        <w:div w:id="1500196427">
          <w:marLeft w:val="0"/>
          <w:marRight w:val="0"/>
          <w:marTop w:val="0"/>
          <w:marBottom w:val="0"/>
          <w:divBdr>
            <w:top w:val="none" w:sz="0" w:space="0" w:color="auto"/>
            <w:left w:val="none" w:sz="0" w:space="0" w:color="auto"/>
            <w:bottom w:val="none" w:sz="0" w:space="0" w:color="auto"/>
            <w:right w:val="none" w:sz="0" w:space="0" w:color="auto"/>
          </w:divBdr>
        </w:div>
        <w:div w:id="1864778892">
          <w:marLeft w:val="0"/>
          <w:marRight w:val="0"/>
          <w:marTop w:val="0"/>
          <w:marBottom w:val="0"/>
          <w:divBdr>
            <w:top w:val="none" w:sz="0" w:space="0" w:color="auto"/>
            <w:left w:val="none" w:sz="0" w:space="0" w:color="auto"/>
            <w:bottom w:val="none" w:sz="0" w:space="0" w:color="auto"/>
            <w:right w:val="none" w:sz="0" w:space="0" w:color="auto"/>
          </w:divBdr>
        </w:div>
      </w:divsChild>
    </w:div>
    <w:div w:id="1634942897">
      <w:bodyDiv w:val="1"/>
      <w:marLeft w:val="0"/>
      <w:marRight w:val="0"/>
      <w:marTop w:val="0"/>
      <w:marBottom w:val="0"/>
      <w:divBdr>
        <w:top w:val="none" w:sz="0" w:space="0" w:color="auto"/>
        <w:left w:val="none" w:sz="0" w:space="0" w:color="auto"/>
        <w:bottom w:val="none" w:sz="0" w:space="0" w:color="auto"/>
        <w:right w:val="none" w:sz="0" w:space="0" w:color="auto"/>
      </w:divBdr>
      <w:divsChild>
        <w:div w:id="132139022">
          <w:marLeft w:val="0"/>
          <w:marRight w:val="0"/>
          <w:marTop w:val="0"/>
          <w:marBottom w:val="0"/>
          <w:divBdr>
            <w:top w:val="none" w:sz="0" w:space="0" w:color="auto"/>
            <w:left w:val="none" w:sz="0" w:space="0" w:color="auto"/>
            <w:bottom w:val="none" w:sz="0" w:space="0" w:color="auto"/>
            <w:right w:val="none" w:sz="0" w:space="0" w:color="auto"/>
          </w:divBdr>
        </w:div>
        <w:div w:id="1574513409">
          <w:marLeft w:val="0"/>
          <w:marRight w:val="0"/>
          <w:marTop w:val="0"/>
          <w:marBottom w:val="0"/>
          <w:divBdr>
            <w:top w:val="none" w:sz="0" w:space="0" w:color="auto"/>
            <w:left w:val="none" w:sz="0" w:space="0" w:color="auto"/>
            <w:bottom w:val="none" w:sz="0" w:space="0" w:color="auto"/>
            <w:right w:val="none" w:sz="0" w:space="0" w:color="auto"/>
          </w:divBdr>
        </w:div>
      </w:divsChild>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867327353">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anplawyers.co/2017/08/02/tidak-hanya-swasta-bumn-pun-bisa/dipailitkan/"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www.hukumonline.com/berita/baca/hol17520/pt-dirgantara%20indonesiadinyatakan-pailit/"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harefadios@gmail.com1"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BAY\Downloads\Template%20Jurnal%20JMHU%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B94AA-EB54-4DCF-BB8E-AB627E5F9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Jurnal JMHU NEW</Template>
  <TotalTime>438</TotalTime>
  <Pages>15</Pages>
  <Words>5365</Words>
  <Characters>30586</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IndoCEISS</Company>
  <LinksUpToDate>false</LinksUpToDate>
  <CharactersWithSpaces>35880</CharactersWithSpaces>
  <SharedDoc>false</SharedDoc>
  <HLinks>
    <vt:vector size="30" baseType="variant">
      <vt:variant>
        <vt:i4>1900562</vt:i4>
      </vt:variant>
      <vt:variant>
        <vt:i4>9</vt:i4>
      </vt:variant>
      <vt:variant>
        <vt:i4>0</vt:i4>
      </vt:variant>
      <vt:variant>
        <vt:i4>5</vt:i4>
      </vt:variant>
      <vt:variant>
        <vt:lpwstr>https://www.wto.org/english/thewto_e/whatis_e/tif_e/agrm7_e.htm</vt:lpwstr>
      </vt:variant>
      <vt:variant>
        <vt:lpwstr/>
      </vt:variant>
      <vt:variant>
        <vt:i4>4653130</vt:i4>
      </vt:variant>
      <vt:variant>
        <vt:i4>6</vt:i4>
      </vt:variant>
      <vt:variant>
        <vt:i4>0</vt:i4>
      </vt:variant>
      <vt:variant>
        <vt:i4>5</vt:i4>
      </vt:variant>
      <vt:variant>
        <vt:lpwstr>https://www.un.org/ruleoflaw/thematic-areas/land-property-environment/environmental-law/</vt:lpwstr>
      </vt:variant>
      <vt:variant>
        <vt:lpwstr/>
      </vt:variant>
      <vt:variant>
        <vt:i4>8257603</vt:i4>
      </vt:variant>
      <vt:variant>
        <vt:i4>3</vt:i4>
      </vt:variant>
      <vt:variant>
        <vt:i4>0</vt:i4>
      </vt:variant>
      <vt:variant>
        <vt:i4>5</vt:i4>
      </vt:variant>
      <vt:variant>
        <vt:lpwstr>mailto:aguskurniawan2015@gmail.com</vt:lpwstr>
      </vt:variant>
      <vt:variant>
        <vt:lpwstr/>
      </vt:variant>
      <vt:variant>
        <vt:i4>7471185</vt:i4>
      </vt:variant>
      <vt:variant>
        <vt:i4>0</vt:i4>
      </vt:variant>
      <vt:variant>
        <vt:i4>0</vt:i4>
      </vt:variant>
      <vt:variant>
        <vt:i4>5</vt:i4>
      </vt:variant>
      <vt:variant>
        <vt:lpwstr>mailto:arassamsitha@yahoo.com</vt:lpwstr>
      </vt:variant>
      <vt:variant>
        <vt:lpwstr/>
      </vt:variant>
      <vt:variant>
        <vt:i4>1900562</vt:i4>
      </vt:variant>
      <vt:variant>
        <vt:i4>0</vt:i4>
      </vt:variant>
      <vt:variant>
        <vt:i4>0</vt:i4>
      </vt:variant>
      <vt:variant>
        <vt:i4>5</vt:i4>
      </vt:variant>
      <vt:variant>
        <vt:lpwstr>https://www.wto.org/english/thewto_e/whatis_e/tif_e/agrm7_e.htm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subject/>
  <dc:creator>UBAY</dc:creator>
  <cp:keywords/>
  <cp:lastModifiedBy>User</cp:lastModifiedBy>
  <cp:revision>23</cp:revision>
  <cp:lastPrinted>2016-10-04T09:41:00Z</cp:lastPrinted>
  <dcterms:created xsi:type="dcterms:W3CDTF">2020-08-19T23:51:00Z</dcterms:created>
  <dcterms:modified xsi:type="dcterms:W3CDTF">2022-09-17T06:18:00Z</dcterms:modified>
</cp:coreProperties>
</file>